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BA5101E"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E64D04">
        <w:rPr>
          <w:b/>
          <w:sz w:val="24"/>
          <w:szCs w:val="24"/>
        </w:rPr>
        <w:t>9</w:t>
      </w:r>
      <w:r w:rsidR="00D72EFA">
        <w:rPr>
          <w:b/>
          <w:sz w:val="24"/>
          <w:szCs w:val="24"/>
        </w:rPr>
        <w:t>8</w:t>
      </w:r>
      <w:r w:rsidR="0094023E">
        <w:rPr>
          <w:b/>
          <w:sz w:val="24"/>
          <w:szCs w:val="24"/>
        </w:rPr>
        <w:t>bis</w:t>
      </w:r>
      <w:r w:rsidRPr="0007631D">
        <w:rPr>
          <w:b/>
          <w:sz w:val="24"/>
          <w:szCs w:val="24"/>
        </w:rPr>
        <w:tab/>
        <w:t>R1-</w:t>
      </w:r>
      <w:r w:rsidR="004A0C72">
        <w:rPr>
          <w:b/>
          <w:sz w:val="24"/>
          <w:szCs w:val="24"/>
        </w:rPr>
        <w:t>19</w:t>
      </w:r>
      <w:r w:rsidR="005C432B">
        <w:rPr>
          <w:rFonts w:eastAsia="MS Mincho" w:hint="eastAsia"/>
          <w:b/>
          <w:sz w:val="24"/>
          <w:szCs w:val="24"/>
          <w:lang w:eastAsia="ja-JP"/>
        </w:rPr>
        <w:t>1</w:t>
      </w:r>
      <w:r w:rsidR="005C432B">
        <w:rPr>
          <w:rFonts w:eastAsia="MS Mincho"/>
          <w:b/>
          <w:sz w:val="24"/>
          <w:szCs w:val="24"/>
          <w:lang w:eastAsia="ja-JP"/>
        </w:rPr>
        <w:t>1137</w:t>
      </w:r>
    </w:p>
    <w:p w14:paraId="2FF5C0C2" w14:textId="02C4C012" w:rsidR="006F7B22" w:rsidRPr="0007631D" w:rsidRDefault="0094023E" w:rsidP="006F7B22">
      <w:pPr>
        <w:tabs>
          <w:tab w:val="center" w:pos="4536"/>
          <w:tab w:val="right" w:pos="9072"/>
        </w:tabs>
        <w:spacing w:after="0"/>
        <w:rPr>
          <w:rFonts w:eastAsia="MS Mincho"/>
          <w:b/>
          <w:bCs/>
          <w:sz w:val="24"/>
          <w:szCs w:val="24"/>
          <w:lang w:eastAsia="ja-JP"/>
        </w:rPr>
      </w:pPr>
      <w:r>
        <w:rPr>
          <w:b/>
          <w:bCs/>
          <w:sz w:val="24"/>
          <w:szCs w:val="24"/>
        </w:rPr>
        <w:t xml:space="preserve">October </w:t>
      </w:r>
      <w:r w:rsidR="008579DE">
        <w:rPr>
          <w:b/>
          <w:bCs/>
          <w:sz w:val="24"/>
          <w:szCs w:val="24"/>
        </w:rPr>
        <w:t>14</w:t>
      </w:r>
      <w:r w:rsidR="008579DE" w:rsidRPr="008579DE">
        <w:rPr>
          <w:b/>
          <w:bCs/>
          <w:sz w:val="24"/>
          <w:szCs w:val="24"/>
          <w:vertAlign w:val="superscript"/>
        </w:rPr>
        <w:t>th</w:t>
      </w:r>
      <w:r w:rsidR="008579DE">
        <w:rPr>
          <w:b/>
          <w:bCs/>
          <w:sz w:val="24"/>
          <w:szCs w:val="24"/>
        </w:rPr>
        <w:t xml:space="preserve"> </w:t>
      </w:r>
      <w:r w:rsidR="006F7B22">
        <w:rPr>
          <w:b/>
          <w:bCs/>
          <w:sz w:val="24"/>
          <w:szCs w:val="24"/>
        </w:rPr>
        <w:t xml:space="preserve">– </w:t>
      </w:r>
      <w:r w:rsidR="008579DE">
        <w:rPr>
          <w:b/>
          <w:bCs/>
          <w:sz w:val="24"/>
          <w:szCs w:val="24"/>
        </w:rPr>
        <w:t>20</w:t>
      </w:r>
      <w:r w:rsidR="00E250A4" w:rsidRPr="00E250A4">
        <w:rPr>
          <w:b/>
          <w:bCs/>
          <w:sz w:val="24"/>
          <w:szCs w:val="24"/>
          <w:vertAlign w:val="superscript"/>
        </w:rPr>
        <w:t>th</w:t>
      </w:r>
      <w:r w:rsidR="006F7B22" w:rsidRPr="0007631D">
        <w:rPr>
          <w:b/>
          <w:bCs/>
          <w:sz w:val="24"/>
          <w:szCs w:val="24"/>
        </w:rPr>
        <w:t>, 201</w:t>
      </w:r>
      <w:r w:rsidR="006F7B22">
        <w:rPr>
          <w:rFonts w:eastAsia="MS Mincho"/>
          <w:b/>
          <w:bCs/>
          <w:sz w:val="24"/>
          <w:szCs w:val="24"/>
          <w:lang w:eastAsia="ja-JP"/>
        </w:rPr>
        <w:t>9</w:t>
      </w:r>
    </w:p>
    <w:p w14:paraId="28A9D42B" w14:textId="4D883D64" w:rsidR="00433B47" w:rsidRPr="0007631D" w:rsidRDefault="008579DE" w:rsidP="00433B47">
      <w:pPr>
        <w:spacing w:after="0"/>
        <w:jc w:val="both"/>
        <w:rPr>
          <w:b/>
          <w:sz w:val="24"/>
          <w:szCs w:val="24"/>
          <w:lang w:eastAsia="zh-CN"/>
        </w:rPr>
      </w:pPr>
      <w:r>
        <w:rPr>
          <w:b/>
          <w:sz w:val="24"/>
          <w:szCs w:val="24"/>
        </w:rPr>
        <w:t>Chongqing,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0002C3FB"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493722C5"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 xml:space="preserve">ld guarantee that the uplink transmissions for each cell group </w:t>
      </w:r>
      <w:proofErr w:type="gramStart"/>
      <w:r w:rsidR="004D6DFF">
        <w:rPr>
          <w:rFonts w:asciiTheme="majorBidi" w:hAnsiTheme="majorBidi" w:cstheme="majorBidi"/>
          <w:bCs/>
          <w:iCs/>
        </w:rPr>
        <w:t xml:space="preserve">will not be interrupted due to a transmission in another cell group </w:t>
      </w:r>
      <w:r w:rsidR="001D6F63">
        <w:rPr>
          <w:rFonts w:asciiTheme="majorBidi" w:hAnsiTheme="majorBidi" w:cstheme="majorBidi"/>
          <w:bCs/>
          <w:iCs/>
        </w:rPr>
        <w:t>at all times</w:t>
      </w:r>
      <w:proofErr w:type="gramEnd"/>
      <w:r w:rsidR="004D6DFF">
        <w:rPr>
          <w:rFonts w:asciiTheme="majorBidi" w:hAnsiTheme="majorBidi" w:cstheme="majorBidi"/>
          <w:bCs/>
          <w:iCs/>
        </w:rPr>
        <w:t>.</w:t>
      </w:r>
    </w:p>
    <w:p w14:paraId="2CAC5B28" w14:textId="4F94C4B8"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 xml:space="preserve">the UE has </w:t>
      </w:r>
      <w:r w:rsidR="001D6F63">
        <w:rPr>
          <w:rFonts w:asciiTheme="majorBidi" w:hAnsiTheme="majorBidi" w:cstheme="majorBidi"/>
          <w:bCs/>
          <w:iCs/>
        </w:rPr>
        <w:t xml:space="preserve">a </w:t>
      </w:r>
      <w:r w:rsidR="00B279FF">
        <w:rPr>
          <w:rFonts w:asciiTheme="majorBidi" w:hAnsiTheme="majorBidi" w:cstheme="majorBidi"/>
          <w:bCs/>
          <w:iCs/>
        </w:rPr>
        <w:t>comparable processing latency on both cell grou</w:t>
      </w:r>
      <w:r w:rsidR="0045722A">
        <w:rPr>
          <w:rFonts w:asciiTheme="majorBidi" w:hAnsiTheme="majorBidi" w:cstheme="majorBidi"/>
          <w:bCs/>
          <w:iCs/>
        </w:rPr>
        <w:t>ps</w:t>
      </w:r>
      <w:r w:rsidR="001D6F63">
        <w:rPr>
          <w:rFonts w:asciiTheme="majorBidi" w:hAnsiTheme="majorBidi" w:cstheme="majorBidi"/>
          <w:bCs/>
          <w:iCs/>
        </w:rPr>
        <w:t xml:space="preserve"> in case both cell groups are used for uplink data transmissions</w:t>
      </w:r>
      <w:r w:rsidR="0045722A">
        <w:rPr>
          <w:rFonts w:asciiTheme="majorBidi" w:hAnsiTheme="majorBidi" w:cstheme="majorBidi"/>
          <w:bCs/>
          <w:iCs/>
        </w:rPr>
        <w:t xml:space="preserve">. </w:t>
      </w:r>
      <w:r w:rsidR="001D6F63">
        <w:rPr>
          <w:rFonts w:asciiTheme="majorBidi" w:hAnsiTheme="majorBidi" w:cstheme="majorBidi"/>
          <w:bCs/>
          <w:iCs/>
        </w:rPr>
        <w:t>In such a case</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345392">
        <w:rPr>
          <w:noProof/>
        </w:rPr>
        <w:fldChar w:fldCharType="begin"/>
      </w:r>
      <w:r w:rsidR="00345392">
        <w:rPr>
          <w:noProof/>
        </w:rPr>
        <w:instrText xml:space="preserve"> SEQ Table \* ARABIC </w:instrText>
      </w:r>
      <w:r w:rsidR="00345392">
        <w:rPr>
          <w:noProof/>
        </w:rPr>
        <w:fldChar w:fldCharType="separate"/>
      </w:r>
      <w:r w:rsidR="00046296">
        <w:rPr>
          <w:noProof/>
        </w:rPr>
        <w:t>1</w:t>
      </w:r>
      <w:r w:rsidR="00345392">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08F6EB33" w14:textId="77777777" w:rsidR="00D32C7A" w:rsidRPr="00846BEE" w:rsidRDefault="00D32C7A" w:rsidP="00214148">
      <w:pPr>
        <w:jc w:val="both"/>
        <w:rPr>
          <w:rFonts w:asciiTheme="majorBidi" w:hAnsiTheme="majorBidi" w:cstheme="majorBidi"/>
          <w:bCs/>
          <w:iCs/>
        </w:rPr>
      </w:pPr>
    </w:p>
    <w:p w14:paraId="3E36F54D" w14:textId="26AA14C4" w:rsidR="0036619F" w:rsidRPr="00846BEE" w:rsidRDefault="00D32C7A" w:rsidP="00214148">
      <w:pPr>
        <w:jc w:val="both"/>
        <w:rPr>
          <w:rFonts w:asciiTheme="majorBidi" w:hAnsiTheme="majorBidi" w:cstheme="majorBidi"/>
          <w:bCs/>
          <w:iCs/>
        </w:rPr>
      </w:pPr>
      <w:r w:rsidRPr="00846BEE">
        <w:rPr>
          <w:rFonts w:asciiTheme="majorBidi" w:hAnsiTheme="majorBidi" w:cstheme="majorBidi"/>
          <w:bCs/>
          <w:iCs/>
        </w:rPr>
        <w:t xml:space="preserve">In the subsequent sections, we first </w:t>
      </w:r>
      <w:r w:rsidR="005C7FF2">
        <w:rPr>
          <w:rFonts w:asciiTheme="majorBidi" w:hAnsiTheme="majorBidi" w:cstheme="majorBidi"/>
          <w:bCs/>
          <w:iCs/>
        </w:rPr>
        <w:t>discuss the benefits and drawbacks of the semi-static power sharing and dynamic power sharing</w:t>
      </w:r>
      <w:r w:rsidRPr="00846BEE">
        <w:rPr>
          <w:rFonts w:asciiTheme="majorBidi" w:hAnsiTheme="majorBidi" w:cstheme="majorBidi"/>
          <w:bCs/>
          <w:iCs/>
        </w:rPr>
        <w:t>, and then c</w:t>
      </w:r>
      <w:r w:rsidR="00C23864" w:rsidRPr="00846BEE">
        <w:rPr>
          <w:rFonts w:asciiTheme="majorBidi" w:hAnsiTheme="majorBidi" w:cstheme="majorBidi"/>
          <w:bCs/>
          <w:iCs/>
        </w:rPr>
        <w:t xml:space="preserve">onsidering the points raised </w:t>
      </w:r>
      <w:r w:rsidRPr="00846BEE">
        <w:rPr>
          <w:rFonts w:asciiTheme="majorBidi" w:hAnsiTheme="majorBidi" w:cstheme="majorBidi"/>
          <w:bCs/>
          <w:iCs/>
        </w:rPr>
        <w:t>here</w:t>
      </w:r>
      <w:r w:rsidR="00C23864" w:rsidRPr="00846BEE">
        <w:rPr>
          <w:rFonts w:asciiTheme="majorBidi" w:hAnsiTheme="majorBidi" w:cstheme="majorBidi"/>
          <w:bCs/>
          <w:iCs/>
        </w:rPr>
        <w:t xml:space="preserve">, we propose a </w:t>
      </w:r>
      <w:r w:rsidR="005C7FF2">
        <w:rPr>
          <w:rFonts w:asciiTheme="majorBidi" w:hAnsiTheme="majorBidi" w:cstheme="majorBidi"/>
          <w:bCs/>
          <w:iCs/>
        </w:rPr>
        <w:t>promising</w:t>
      </w:r>
      <w:r w:rsidR="005C7FF2" w:rsidRPr="00846BEE">
        <w:rPr>
          <w:rFonts w:asciiTheme="majorBidi" w:hAnsiTheme="majorBidi" w:cstheme="majorBidi"/>
          <w:bCs/>
          <w:iCs/>
        </w:rPr>
        <w:t xml:space="preserve"> </w:t>
      </w:r>
      <w:r w:rsidR="00C23864" w:rsidRPr="00846BEE">
        <w:rPr>
          <w:rFonts w:asciiTheme="majorBidi" w:hAnsiTheme="majorBidi" w:cstheme="majorBidi"/>
          <w:bCs/>
          <w:iCs/>
        </w:rPr>
        <w:t>solution for uplink power control of Rel. 16 NN-DC.</w:t>
      </w:r>
    </w:p>
    <w:p w14:paraId="7E0F4733" w14:textId="2662EB3B" w:rsidR="00D32C7A" w:rsidRPr="00846BEE" w:rsidRDefault="00D32C7A" w:rsidP="00D32C7A">
      <w:pPr>
        <w:pStyle w:val="Heading1"/>
        <w:jc w:val="both"/>
        <w:rPr>
          <w:rFonts w:ascii="Times New Roman" w:hAnsi="Times New Roman"/>
        </w:rPr>
      </w:pPr>
      <w:r w:rsidRPr="00846BEE">
        <w:rPr>
          <w:rFonts w:ascii="Times New Roman" w:hAnsi="Times New Roman"/>
        </w:rPr>
        <w:t xml:space="preserve">Semi-Static Versus Dynamic Power Sharing </w:t>
      </w:r>
      <w:r w:rsidR="00212904" w:rsidRPr="00846BEE">
        <w:rPr>
          <w:rFonts w:ascii="Times New Roman" w:hAnsi="Times New Roman"/>
        </w:rPr>
        <w:t>for NN-DC</w:t>
      </w:r>
    </w:p>
    <w:p w14:paraId="553256AF" w14:textId="7453DC89" w:rsidR="00B5720F" w:rsidRPr="00846BEE" w:rsidRDefault="004D0879" w:rsidP="00F43662">
      <w:pPr>
        <w:jc w:val="both"/>
        <w:rPr>
          <w:lang w:val="en-GB"/>
        </w:rPr>
      </w:pPr>
      <w:r w:rsidRPr="00846BEE">
        <w:rPr>
          <w:lang w:val="en-GB"/>
        </w:rPr>
        <w:t xml:space="preserve">Under a semi-static power sharing scheme, </w:t>
      </w:r>
      <w:r w:rsidR="00F43662" w:rsidRPr="00846BEE">
        <w:rPr>
          <w:lang w:val="en-GB"/>
        </w:rPr>
        <w:t>the total allowed power across all the serving cells is semi-statically split between the two cell groups</w:t>
      </w:r>
      <w:r w:rsidR="00A05F0E" w:rsidRPr="00846BEE">
        <w:rPr>
          <w:lang w:val="en-GB"/>
        </w:rPr>
        <w:t xml:space="preserve"> such that the total UE’s transmit power is always below or equal to the total allowed transmit power.</w:t>
      </w:r>
      <w:r w:rsidR="00B57D28">
        <w:rPr>
          <w:lang w:val="en-GB"/>
        </w:rPr>
        <w:t xml:space="preserve"> </w:t>
      </w:r>
      <w:r w:rsidR="00A05F0E" w:rsidRPr="00846BEE">
        <w:rPr>
          <w:lang w:val="en-GB"/>
        </w:rPr>
        <w:t>Hence</w:t>
      </w:r>
      <w:r w:rsidR="00F43662" w:rsidRPr="00846BEE">
        <w:rPr>
          <w:lang w:val="en-GB"/>
        </w:rPr>
        <w:t>, it is always guaranteed that at no time,</w:t>
      </w:r>
      <w:r w:rsidR="00965D91" w:rsidRPr="00846BEE">
        <w:rPr>
          <w:lang w:val="en-GB"/>
        </w:rPr>
        <w:t xml:space="preserve"> the uplink transmission in one cell group is i</w:t>
      </w:r>
      <w:r w:rsidR="00A05F0E" w:rsidRPr="00846BEE">
        <w:rPr>
          <w:lang w:val="en-GB"/>
        </w:rPr>
        <w:t xml:space="preserve">nterrupted </w:t>
      </w:r>
      <w:r w:rsidR="00965D91" w:rsidRPr="00846BEE">
        <w:rPr>
          <w:lang w:val="en-GB"/>
        </w:rPr>
        <w:t>by another uplink transmission</w:t>
      </w:r>
      <w:r w:rsidR="00FC2C5D">
        <w:rPr>
          <w:lang w:val="en-GB"/>
        </w:rPr>
        <w:t>, dynamically scheduled,</w:t>
      </w:r>
      <w:r w:rsidR="00965D91" w:rsidRPr="00846BEE">
        <w:rPr>
          <w:lang w:val="en-GB"/>
        </w:rPr>
        <w:t xml:space="preserve"> in the other cell group</w:t>
      </w:r>
      <w:r w:rsidR="00482262">
        <w:rPr>
          <w:lang w:val="en-GB"/>
        </w:rPr>
        <w:t xml:space="preserve">. </w:t>
      </w:r>
      <w:proofErr w:type="gramStart"/>
      <w:r w:rsidR="00482262">
        <w:rPr>
          <w:lang w:val="en-GB"/>
        </w:rPr>
        <w:t>As a consequence</w:t>
      </w:r>
      <w:proofErr w:type="gramEnd"/>
      <w:r w:rsidR="00482262">
        <w:rPr>
          <w:lang w:val="en-GB"/>
        </w:rPr>
        <w:t>,</w:t>
      </w:r>
      <w:r w:rsidR="00283144">
        <w:rPr>
          <w:lang w:val="en-GB"/>
        </w:rPr>
        <w:t xml:space="preserve"> </w:t>
      </w:r>
      <w:r w:rsidR="00A05F0E" w:rsidRPr="00846BEE">
        <w:rPr>
          <w:lang w:val="en-GB"/>
        </w:rPr>
        <w:t xml:space="preserve">power scaling due to simultaneous </w:t>
      </w:r>
      <w:r w:rsidR="00A05F0E" w:rsidRPr="00846BEE">
        <w:rPr>
          <w:lang w:val="en-GB"/>
        </w:rPr>
        <w:lastRenderedPageBreak/>
        <w:t>transmissions in the other cell group is not needed, and each transmission’s phase continuity can be preserved</w:t>
      </w:r>
      <w:r w:rsidR="00965D91" w:rsidRPr="00846BEE">
        <w:rPr>
          <w:lang w:val="en-GB"/>
        </w:rPr>
        <w:t xml:space="preserve">. This is an essential </w:t>
      </w:r>
      <w:r w:rsidR="00A05F0E" w:rsidRPr="00846BEE">
        <w:rPr>
          <w:lang w:val="en-GB"/>
        </w:rPr>
        <w:t xml:space="preserve">feature of a semi-static power sharing scheme for dual-connectivity deployment; due to the absence of coordination across the </w:t>
      </w:r>
      <w:proofErr w:type="spellStart"/>
      <w:r w:rsidR="00A05F0E" w:rsidRPr="00846BEE">
        <w:rPr>
          <w:lang w:val="en-GB"/>
        </w:rPr>
        <w:t>gNBs</w:t>
      </w:r>
      <w:proofErr w:type="spellEnd"/>
      <w:r w:rsidR="00A05F0E" w:rsidRPr="00846BEE">
        <w:rPr>
          <w:lang w:val="en-GB"/>
        </w:rPr>
        <w:t xml:space="preserve">, with semi-static power sharing, the network operation is predictable. Another important aspect to consider is that under a semi-static power sharing, uplink link adaptation can be performed efficiently. A </w:t>
      </w:r>
      <w:proofErr w:type="spellStart"/>
      <w:r w:rsidR="00A05F0E" w:rsidRPr="00846BEE">
        <w:rPr>
          <w:lang w:val="en-GB"/>
        </w:rPr>
        <w:t>gNB</w:t>
      </w:r>
      <w:proofErr w:type="spellEnd"/>
      <w:r w:rsidR="00A05F0E" w:rsidRPr="00846BEE">
        <w:rPr>
          <w:lang w:val="en-GB"/>
        </w:rPr>
        <w:t xml:space="preserve"> decides the uplink MCS based on its local information about the UE’s channel conditions and available power. With such information, uplink MCS can be set accordingly. </w:t>
      </w:r>
      <w:r w:rsidR="003258F4">
        <w:rPr>
          <w:lang w:val="en-GB"/>
        </w:rPr>
        <w:t xml:space="preserve">Note that </w:t>
      </w:r>
      <w:r w:rsidR="00FD23AC">
        <w:rPr>
          <w:lang w:val="en-GB"/>
        </w:rPr>
        <w:t>semi-st</w:t>
      </w:r>
      <w:r w:rsidR="0087728D">
        <w:rPr>
          <w:lang w:val="en-GB"/>
        </w:rPr>
        <w:t>a</w:t>
      </w:r>
      <w:r w:rsidR="00FD23AC">
        <w:rPr>
          <w:lang w:val="en-GB"/>
        </w:rPr>
        <w:t xml:space="preserve">tic power sharing does not mean </w:t>
      </w:r>
      <w:r w:rsidR="003258F4">
        <w:rPr>
          <w:lang w:val="en-GB"/>
        </w:rPr>
        <w:t xml:space="preserve">the </w:t>
      </w:r>
      <w:r w:rsidR="00FD23AC">
        <w:rPr>
          <w:lang w:val="en-GB"/>
        </w:rPr>
        <w:t xml:space="preserve">maximum </w:t>
      </w:r>
      <w:r w:rsidR="00157A01">
        <w:rPr>
          <w:lang w:val="en-GB"/>
        </w:rPr>
        <w:t xml:space="preserve">available </w:t>
      </w:r>
      <w:r w:rsidR="00FD23AC">
        <w:rPr>
          <w:lang w:val="en-GB"/>
        </w:rPr>
        <w:t>power for each CG is</w:t>
      </w:r>
      <w:r w:rsidR="00157A01">
        <w:rPr>
          <w:lang w:val="en-GB"/>
        </w:rPr>
        <w:t xml:space="preserve"> </w:t>
      </w:r>
      <w:r w:rsidR="00784003">
        <w:rPr>
          <w:lang w:val="en-GB"/>
        </w:rPr>
        <w:t>equally-split</w:t>
      </w:r>
      <w:r w:rsidR="00157A01">
        <w:rPr>
          <w:lang w:val="en-GB"/>
        </w:rPr>
        <w:t xml:space="preserve">; </w:t>
      </w:r>
      <w:r w:rsidR="00784003">
        <w:rPr>
          <w:lang w:val="en-GB"/>
        </w:rPr>
        <w:t>the max values for CGs</w:t>
      </w:r>
      <w:r w:rsidR="00157A01">
        <w:rPr>
          <w:lang w:val="en-GB"/>
        </w:rPr>
        <w:t xml:space="preserve"> </w:t>
      </w:r>
      <w:r w:rsidR="00FD23AC">
        <w:rPr>
          <w:lang w:val="en-GB"/>
        </w:rPr>
        <w:t>should be configurable.</w:t>
      </w:r>
      <w:r w:rsidR="00157A01">
        <w:rPr>
          <w:lang w:val="en-GB"/>
        </w:rPr>
        <w:t xml:space="preserve"> </w:t>
      </w:r>
      <w:proofErr w:type="gramStart"/>
      <w:r w:rsidR="001C603C">
        <w:rPr>
          <w:lang w:val="en-GB"/>
        </w:rPr>
        <w:t>As long as</w:t>
      </w:r>
      <w:proofErr w:type="gramEnd"/>
      <w:r w:rsidR="00AF0FE8">
        <w:rPr>
          <w:lang w:val="en-GB"/>
        </w:rPr>
        <w:t xml:space="preserve"> </w:t>
      </w:r>
      <w:proofErr w:type="spellStart"/>
      <w:r w:rsidR="00AF0FE8">
        <w:rPr>
          <w:lang w:val="en-GB"/>
        </w:rPr>
        <w:t>gNB</w:t>
      </w:r>
      <w:proofErr w:type="spellEnd"/>
      <w:r w:rsidR="00AF0FE8">
        <w:rPr>
          <w:lang w:val="en-GB"/>
        </w:rPr>
        <w:t xml:space="preserve"> is able to configure appropriate values for the maximum available power for </w:t>
      </w:r>
      <w:r w:rsidR="008667AF">
        <w:rPr>
          <w:lang w:val="en-GB"/>
        </w:rPr>
        <w:t xml:space="preserve">the </w:t>
      </w:r>
      <w:r w:rsidR="00AF0FE8">
        <w:rPr>
          <w:lang w:val="en-GB"/>
        </w:rPr>
        <w:t xml:space="preserve">CG taking into account channel conditions, traffic </w:t>
      </w:r>
      <w:r w:rsidR="00F77AA5">
        <w:rPr>
          <w:lang w:val="en-GB"/>
        </w:rPr>
        <w:t>types/</w:t>
      </w:r>
      <w:r w:rsidR="00CD2AFA">
        <w:rPr>
          <w:lang w:val="en-GB"/>
        </w:rPr>
        <w:t>volume</w:t>
      </w:r>
      <w:r w:rsidR="00F77AA5">
        <w:rPr>
          <w:lang w:val="en-GB"/>
        </w:rPr>
        <w:t>s,</w:t>
      </w:r>
      <w:r w:rsidR="00CD2AFA">
        <w:rPr>
          <w:lang w:val="en-GB"/>
        </w:rPr>
        <w:t xml:space="preserve"> </w:t>
      </w:r>
      <w:r w:rsidR="001C603C">
        <w:rPr>
          <w:lang w:val="en-GB"/>
        </w:rPr>
        <w:t xml:space="preserve">transmission bandwidth, </w:t>
      </w:r>
      <w:r w:rsidR="00CD2AFA">
        <w:rPr>
          <w:lang w:val="en-GB"/>
        </w:rPr>
        <w:t>etc, using semi-static power sharing does not cause serious issue on uplink coverage</w:t>
      </w:r>
      <w:r w:rsidR="00C84901">
        <w:rPr>
          <w:lang w:val="en-GB"/>
        </w:rPr>
        <w:t>; rather, predictable power allocation offers reliable operation</w:t>
      </w:r>
      <w:r w:rsidR="00585D94">
        <w:rPr>
          <w:lang w:val="en-GB"/>
        </w:rPr>
        <w:t xml:space="preserve"> and stable performance</w:t>
      </w:r>
      <w:r w:rsidR="00CD2AFA">
        <w:rPr>
          <w:lang w:val="en-GB"/>
        </w:rPr>
        <w:t xml:space="preserve">. </w:t>
      </w:r>
    </w:p>
    <w:p w14:paraId="36127B41" w14:textId="302F21F4" w:rsidR="00D32C7A" w:rsidRDefault="00B5720F" w:rsidP="00214148">
      <w:pPr>
        <w:jc w:val="both"/>
        <w:rPr>
          <w:lang w:val="en-GB"/>
        </w:rPr>
      </w:pPr>
      <w:r w:rsidRPr="00846BEE">
        <w:rPr>
          <w:lang w:val="en-GB"/>
        </w:rPr>
        <w:t>An alternative solution for uplink power control in a dual-</w:t>
      </w:r>
      <w:proofErr w:type="spellStart"/>
      <w:r w:rsidRPr="00846BEE">
        <w:rPr>
          <w:lang w:val="en-GB"/>
        </w:rPr>
        <w:t>coonectivity</w:t>
      </w:r>
      <w:proofErr w:type="spellEnd"/>
      <w:r w:rsidRPr="00846BEE">
        <w:rPr>
          <w:lang w:val="en-GB"/>
        </w:rPr>
        <w:t xml:space="preserve"> deployment is to allow for dynamic power sharing across the cell groups. Under this scheme, the total allowed power can be shared across the two cell groups dynamically. As an example, each cell group may be assigned a minimum reserved power</w:t>
      </w:r>
      <w:r w:rsidR="00482262">
        <w:rPr>
          <w:lang w:val="en-GB"/>
        </w:rPr>
        <w:t xml:space="preserve"> to protect, e.g., PUCCH carrying HARQ-ACK</w:t>
      </w:r>
      <w:r w:rsidRPr="00846BEE">
        <w:rPr>
          <w:lang w:val="en-GB"/>
        </w:rPr>
        <w:t xml:space="preserve">. This power is guaranteed for each cell </w:t>
      </w:r>
      <w:proofErr w:type="gramStart"/>
      <w:r w:rsidRPr="00846BEE">
        <w:rPr>
          <w:lang w:val="en-GB"/>
        </w:rPr>
        <w:t>group, and</w:t>
      </w:r>
      <w:proofErr w:type="gramEnd"/>
      <w:r w:rsidRPr="00846BEE">
        <w:rPr>
          <w:lang w:val="en-GB"/>
        </w:rPr>
        <w:t xml:space="preserve"> cannot be recycled by the other cell group. </w:t>
      </w:r>
      <w:proofErr w:type="gramStart"/>
      <w:r w:rsidRPr="00846BEE">
        <w:rPr>
          <w:lang w:val="en-GB"/>
        </w:rPr>
        <w:t>As long as</w:t>
      </w:r>
      <w:proofErr w:type="gramEnd"/>
      <w:r w:rsidRPr="00846BEE">
        <w:rPr>
          <w:lang w:val="en-GB"/>
        </w:rPr>
        <w:t xml:space="preserve"> the uplink transmission power remains within this boundary, the transmission is not impacted by the concurrent transmission in the other cell group. However, if the </w:t>
      </w:r>
      <w:proofErr w:type="spellStart"/>
      <w:r w:rsidRPr="00846BEE">
        <w:rPr>
          <w:lang w:val="en-GB"/>
        </w:rPr>
        <w:t>gNB</w:t>
      </w:r>
      <w:proofErr w:type="spellEnd"/>
      <w:r w:rsidRPr="00846BEE">
        <w:rPr>
          <w:lang w:val="en-GB"/>
        </w:rPr>
        <w:t xml:space="preserve"> decides to request for a larger amount of power, </w:t>
      </w:r>
      <w:r w:rsidR="00001E81" w:rsidRPr="00846BEE">
        <w:rPr>
          <w:lang w:val="en-GB"/>
        </w:rPr>
        <w:t xml:space="preserve">it is not guaranteed whether the transmission remains uninterrupted. </w:t>
      </w:r>
      <w:r w:rsidR="000B6B09" w:rsidRPr="00846BEE">
        <w:rPr>
          <w:lang w:val="en-GB"/>
        </w:rPr>
        <w:t xml:space="preserve">As an example, assume that PUSCH A is scheduled with uplink power P_A &gt; P_res,2 in cell group 2. Another uplink transmission, PUSCH B, with a higher priority is then triggered in the other cell </w:t>
      </w:r>
      <w:proofErr w:type="gramStart"/>
      <w:r w:rsidR="000B6B09" w:rsidRPr="00846BEE">
        <w:rPr>
          <w:lang w:val="en-GB"/>
        </w:rPr>
        <w:t>group, and</w:t>
      </w:r>
      <w:proofErr w:type="gramEnd"/>
      <w:r w:rsidR="000B6B09" w:rsidRPr="00846BEE">
        <w:rPr>
          <w:lang w:val="en-GB"/>
        </w:rPr>
        <w:t xml:space="preserve"> is requested to be sent with uplink power P_B &gt; P_res,1 such that P_A+P_B &gt; </w:t>
      </w:r>
      <w:proofErr w:type="spellStart"/>
      <w:r w:rsidR="000B6B09" w:rsidRPr="00846BEE">
        <w:rPr>
          <w:lang w:val="en-GB"/>
        </w:rPr>
        <w:t>P_tot</w:t>
      </w:r>
      <w:proofErr w:type="spellEnd"/>
      <w:r w:rsidR="000B6B09" w:rsidRPr="00846BEE">
        <w:rPr>
          <w:lang w:val="en-GB"/>
        </w:rPr>
        <w:t xml:space="preserve">. In such a case, the power of PUSCH A needs to be scaled down in the middle of the transmission. Any power re-scaling in the middle of the transmission can cause phase discontinuity, i.e., the DMRS and data symbols may be out of phase. In such a case, the uplink transmission cannot be decoded. </w:t>
      </w:r>
      <w:r w:rsidR="00482262">
        <w:rPr>
          <w:lang w:val="en-GB"/>
        </w:rPr>
        <w:t xml:space="preserve">As another example, the minimum reserved power could be </w:t>
      </w:r>
      <w:proofErr w:type="gramStart"/>
      <w:r w:rsidR="00482262">
        <w:rPr>
          <w:lang w:val="en-GB"/>
        </w:rPr>
        <w:t>sufficient</w:t>
      </w:r>
      <w:proofErr w:type="gramEnd"/>
      <w:r w:rsidR="00482262">
        <w:rPr>
          <w:lang w:val="en-GB"/>
        </w:rPr>
        <w:t xml:space="preserve"> for the transmission of PUCCH carrying HARQ-ACK. However, the </w:t>
      </w:r>
      <w:proofErr w:type="spellStart"/>
      <w:r w:rsidR="00482262">
        <w:rPr>
          <w:lang w:val="en-GB"/>
        </w:rPr>
        <w:t>gNB</w:t>
      </w:r>
      <w:proofErr w:type="spellEnd"/>
      <w:r w:rsidR="00482262">
        <w:rPr>
          <w:lang w:val="en-GB"/>
        </w:rPr>
        <w:t xml:space="preserve"> may schedule a PUSCH overlapping with PUCCH. In such a case, HARQ-ACK should be multiplexed on PUSCH. Then, the required power for PUSCH carrying HARQ-ACK might be above the minimum reserved power. Since allocating a power above the minimum reserved power increases the risk of experiencing phase discontinuity, the HARQ-ACK reliability may be impacted. </w:t>
      </w:r>
      <w:r w:rsidR="000B6B09" w:rsidRPr="00846BEE">
        <w:rPr>
          <w:lang w:val="en-GB"/>
        </w:rPr>
        <w:t xml:space="preserve">The main drawback of the dynamic power sharing is that the network </w:t>
      </w:r>
      <w:proofErr w:type="spellStart"/>
      <w:r w:rsidR="000B6B09" w:rsidRPr="00846BEE">
        <w:rPr>
          <w:lang w:val="en-GB"/>
        </w:rPr>
        <w:t>opration</w:t>
      </w:r>
      <w:proofErr w:type="spellEnd"/>
      <w:r w:rsidR="000B6B09" w:rsidRPr="00846BEE">
        <w:rPr>
          <w:lang w:val="en-GB"/>
        </w:rPr>
        <w:t xml:space="preserve"> is not predictable</w:t>
      </w:r>
      <w:r w:rsidR="00482262">
        <w:rPr>
          <w:lang w:val="en-GB"/>
        </w:rPr>
        <w:t xml:space="preserve">, the interruptions are not under the full control of the scheduling </w:t>
      </w:r>
      <w:proofErr w:type="spellStart"/>
      <w:proofErr w:type="gramStart"/>
      <w:r w:rsidR="00482262">
        <w:rPr>
          <w:lang w:val="en-GB"/>
        </w:rPr>
        <w:t>gNB</w:t>
      </w:r>
      <w:proofErr w:type="spellEnd"/>
      <w:r w:rsidR="00482262">
        <w:rPr>
          <w:lang w:val="en-GB"/>
        </w:rPr>
        <w:t>, and</w:t>
      </w:r>
      <w:proofErr w:type="gramEnd"/>
      <w:r w:rsidR="00482262">
        <w:rPr>
          <w:lang w:val="en-GB"/>
        </w:rPr>
        <w:t xml:space="preserve"> cannot be avoided or planned</w:t>
      </w:r>
      <w:r w:rsidR="000B6B09" w:rsidRPr="00846BEE">
        <w:rPr>
          <w:lang w:val="en-GB"/>
        </w:rPr>
        <w:t xml:space="preserve">. </w:t>
      </w:r>
      <w:r w:rsidR="00F71A73">
        <w:rPr>
          <w:lang w:val="en-GB"/>
        </w:rPr>
        <w:t>Hence, adopting any dynamic power sharing scheme for NN-DC is not desirable.</w:t>
      </w:r>
      <w:r w:rsidR="000B6B09">
        <w:rPr>
          <w:lang w:val="en-GB"/>
        </w:rPr>
        <w:t xml:space="preserve"> </w:t>
      </w:r>
    </w:p>
    <w:p w14:paraId="08E08693" w14:textId="5C122357" w:rsidR="009C0F7B" w:rsidRPr="003C42DD" w:rsidRDefault="00F71A73" w:rsidP="00F71A73">
      <w:pPr>
        <w:jc w:val="both"/>
        <w:rPr>
          <w:szCs w:val="22"/>
        </w:rPr>
      </w:pPr>
      <w:proofErr w:type="spellStart"/>
      <w:r>
        <w:rPr>
          <w:szCs w:val="22"/>
        </w:rPr>
        <w:t>Additionaly</w:t>
      </w:r>
      <w:proofErr w:type="spellEnd"/>
      <w:r>
        <w:rPr>
          <w:szCs w:val="22"/>
        </w:rPr>
        <w:t xml:space="preserve">, </w:t>
      </w:r>
      <w:r w:rsidRPr="00F71A73">
        <w:rPr>
          <w:szCs w:val="22"/>
        </w:rPr>
        <w:t>async</w:t>
      </w:r>
      <w:r>
        <w:rPr>
          <w:szCs w:val="22"/>
        </w:rPr>
        <w:t>hronous</w:t>
      </w:r>
      <w:r w:rsidRPr="00F71A73">
        <w:rPr>
          <w:szCs w:val="22"/>
        </w:rPr>
        <w:t xml:space="preserve"> DC is supportable with an architecture that has distinct hardware blocks mappable to </w:t>
      </w:r>
      <w:r>
        <w:rPr>
          <w:szCs w:val="22"/>
        </w:rPr>
        <w:t>the two cell groups</w:t>
      </w:r>
      <w:r w:rsidRPr="00F71A73">
        <w:rPr>
          <w:szCs w:val="22"/>
        </w:rPr>
        <w:t>. It must be a fundamental assumption that the two hardware blocks used for async</w:t>
      </w:r>
      <w:r>
        <w:rPr>
          <w:szCs w:val="22"/>
        </w:rPr>
        <w:t>hronous</w:t>
      </w:r>
      <w:r w:rsidRPr="00F71A73">
        <w:rPr>
          <w:szCs w:val="22"/>
        </w:rPr>
        <w:t xml:space="preserve"> DC are clearly separable, i.e.</w:t>
      </w:r>
      <w:r>
        <w:rPr>
          <w:szCs w:val="22"/>
        </w:rPr>
        <w:t>,</w:t>
      </w:r>
      <w:r w:rsidRPr="00F71A73">
        <w:rPr>
          <w:szCs w:val="22"/>
        </w:rPr>
        <w:t xml:space="preserve"> there is no cross-CG HARQ dependency, no cross-CG max data rate sharing, no cross-CG CSI triggering, </w:t>
      </w:r>
      <w:r>
        <w:rPr>
          <w:szCs w:val="22"/>
        </w:rPr>
        <w:t>etc</w:t>
      </w:r>
      <w:r w:rsidRPr="00F71A73">
        <w:rPr>
          <w:szCs w:val="22"/>
        </w:rPr>
        <w:t>. Th</w:t>
      </w:r>
      <w:r>
        <w:rPr>
          <w:szCs w:val="22"/>
        </w:rPr>
        <w:t>is</w:t>
      </w:r>
      <w:r w:rsidRPr="00F71A73">
        <w:rPr>
          <w:szCs w:val="22"/>
        </w:rPr>
        <w:t xml:space="preserve"> means that in the async</w:t>
      </w:r>
      <w:r>
        <w:rPr>
          <w:szCs w:val="22"/>
        </w:rPr>
        <w:t>hronous</w:t>
      </w:r>
      <w:r w:rsidRPr="00F71A73">
        <w:rPr>
          <w:szCs w:val="22"/>
        </w:rPr>
        <w:t xml:space="preserve"> DC mode, there is no pre-existing demand to have a fast interface across the blocks carrying dynamic information. </w:t>
      </w:r>
      <w:r w:rsidR="008D7518">
        <w:rPr>
          <w:szCs w:val="22"/>
        </w:rPr>
        <w:t>Given that the gains of dynamic power sharing are unknown (and in fact, it can degrade system performance), adding this functionality is not justifiable.</w:t>
      </w:r>
    </w:p>
    <w:p w14:paraId="7FA815EC" w14:textId="5F1D67E8" w:rsidR="00482262" w:rsidRPr="00B57D28" w:rsidRDefault="008A60C1" w:rsidP="00214148">
      <w:pPr>
        <w:jc w:val="both"/>
        <w:rPr>
          <w:b/>
          <w:szCs w:val="22"/>
        </w:rPr>
      </w:pPr>
      <w:r>
        <w:rPr>
          <w:b/>
          <w:szCs w:val="22"/>
        </w:rPr>
        <w:t>Observation</w:t>
      </w:r>
      <w:r w:rsidRPr="00D86F52">
        <w:rPr>
          <w:b/>
          <w:szCs w:val="22"/>
        </w:rPr>
        <w:t xml:space="preserve"> </w:t>
      </w:r>
      <w:r w:rsidR="008D7518" w:rsidRPr="00D86F52">
        <w:rPr>
          <w:b/>
          <w:szCs w:val="22"/>
        </w:rPr>
        <w:t xml:space="preserve">1: </w:t>
      </w:r>
      <w:r w:rsidR="00181FDA">
        <w:rPr>
          <w:b/>
          <w:szCs w:val="22"/>
        </w:rPr>
        <w:t xml:space="preserve">Due to the extra complication </w:t>
      </w:r>
      <w:r w:rsidR="00A053AF">
        <w:rPr>
          <w:b/>
          <w:szCs w:val="22"/>
        </w:rPr>
        <w:t>for UE implementation</w:t>
      </w:r>
      <w:r w:rsidR="00AF1730">
        <w:rPr>
          <w:b/>
          <w:szCs w:val="22"/>
        </w:rPr>
        <w:t xml:space="preserve"> as well as lack of performance benefit justification</w:t>
      </w:r>
      <w:r w:rsidR="00A053AF">
        <w:rPr>
          <w:b/>
          <w:szCs w:val="22"/>
        </w:rPr>
        <w:t>, d</w:t>
      </w:r>
      <w:r w:rsidR="008D7518" w:rsidRPr="00D86F52">
        <w:rPr>
          <w:b/>
          <w:szCs w:val="22"/>
        </w:rPr>
        <w:t xml:space="preserve">ynamic power sharing </w:t>
      </w:r>
      <w:r>
        <w:rPr>
          <w:b/>
          <w:szCs w:val="22"/>
        </w:rPr>
        <w:t>is</w:t>
      </w:r>
      <w:r w:rsidR="008D7518" w:rsidRPr="00D86F52">
        <w:rPr>
          <w:b/>
          <w:szCs w:val="22"/>
        </w:rPr>
        <w:t xml:space="preserve"> not </w:t>
      </w:r>
      <w:r>
        <w:rPr>
          <w:b/>
          <w:szCs w:val="22"/>
        </w:rPr>
        <w:t>desirable</w:t>
      </w:r>
      <w:r w:rsidR="008D7518" w:rsidRPr="00D86F52">
        <w:rPr>
          <w:b/>
          <w:szCs w:val="22"/>
        </w:rPr>
        <w:t xml:space="preserve"> for Rel. 16 NN-DC.</w:t>
      </w:r>
    </w:p>
    <w:p w14:paraId="0E07AC2D" w14:textId="06281E54" w:rsidR="006838AD" w:rsidRPr="00DE44D6" w:rsidRDefault="007B37C6" w:rsidP="006838AD">
      <w:pPr>
        <w:pStyle w:val="Heading1"/>
        <w:jc w:val="both"/>
        <w:rPr>
          <w:rFonts w:ascii="Times New Roman" w:hAnsi="Times New Roman"/>
        </w:rPr>
      </w:pPr>
      <w:r>
        <w:rPr>
          <w:rFonts w:ascii="Times New Roman" w:hAnsi="Times New Roman"/>
        </w:rPr>
        <w:t xml:space="preserve">Semi-Static </w:t>
      </w:r>
      <w:r w:rsidR="000A1AA8">
        <w:rPr>
          <w:rFonts w:ascii="Times New Roman" w:hAnsi="Times New Roman"/>
        </w:rPr>
        <w:t>Power Control Solution for Rel. 16 NN-DC</w:t>
      </w:r>
    </w:p>
    <w:p w14:paraId="299C4888" w14:textId="77777777" w:rsidR="00CE7577" w:rsidRDefault="000B6B09" w:rsidP="002F714F">
      <w:pPr>
        <w:jc w:val="both"/>
      </w:pPr>
      <w:r>
        <w:t>As mentioned in the preceding section, a</w:t>
      </w:r>
      <w:r w:rsidR="005D5363" w:rsidRPr="005D5363">
        <w:t xml:space="preserve"> practical scheme for uplink power control should </w:t>
      </w:r>
      <w:r>
        <w:t>a</w:t>
      </w:r>
      <w:r w:rsidR="002F714F" w:rsidRPr="000B6B09">
        <w:t xml:space="preserve">llow a </w:t>
      </w:r>
      <w:proofErr w:type="spellStart"/>
      <w:r w:rsidR="002F714F" w:rsidRPr="000B6B09">
        <w:t>gNB</w:t>
      </w:r>
      <w:proofErr w:type="spellEnd"/>
      <w:r w:rsidR="002F714F" w:rsidRPr="000B6B09">
        <w:t xml:space="preserve"> to make scheduling decisions independently.</w:t>
      </w:r>
      <w:r w:rsidR="00AC3768">
        <w:t xml:space="preserve"> Satisfying this condition</w:t>
      </w:r>
      <w:r w:rsidR="001E634E">
        <w:t xml:space="preserve">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w:t>
      </w:r>
      <w:r w:rsidR="003D35FF">
        <w:t>.</w:t>
      </w:r>
      <w:r w:rsidR="001E634E">
        <w:t xml:space="preserve"> </w:t>
      </w:r>
    </w:p>
    <w:p w14:paraId="611A9657" w14:textId="7AB0B5BC" w:rsidR="00CC3869" w:rsidRDefault="000C04AB" w:rsidP="002F714F">
      <w:pPr>
        <w:jc w:val="both"/>
      </w:pPr>
      <w:r>
        <w:t>At the RAN1#98 meeting, two alternatives were identified as semi-static power control solutions</w:t>
      </w:r>
      <w:r w:rsidR="006A3EC8">
        <w:t xml:space="preserve"> [1]</w:t>
      </w:r>
      <w:r w:rsidR="00752D7F">
        <w:t>:</w:t>
      </w:r>
    </w:p>
    <w:tbl>
      <w:tblPr>
        <w:tblStyle w:val="TableGrid"/>
        <w:tblW w:w="0" w:type="auto"/>
        <w:tblLook w:val="04A0" w:firstRow="1" w:lastRow="0" w:firstColumn="1" w:lastColumn="0" w:noHBand="0" w:noVBand="1"/>
      </w:tblPr>
      <w:tblGrid>
        <w:gridCol w:w="9962"/>
      </w:tblGrid>
      <w:tr w:rsidR="00CC3869" w14:paraId="2B6D849F" w14:textId="77777777" w:rsidTr="00CC3869">
        <w:tc>
          <w:tcPr>
            <w:tcW w:w="9962" w:type="dxa"/>
          </w:tcPr>
          <w:p w14:paraId="4FEF6006" w14:textId="7C3F6BF1" w:rsidR="007648BD" w:rsidRPr="007648BD" w:rsidRDefault="007648BD" w:rsidP="001079D2">
            <w:pPr>
              <w:numPr>
                <w:ilvl w:val="0"/>
                <w:numId w:val="17"/>
              </w:numPr>
              <w:tabs>
                <w:tab w:val="clear" w:pos="357"/>
                <w:tab w:val="num" w:pos="720"/>
              </w:tabs>
              <w:spacing w:before="0" w:after="0"/>
              <w:ind w:hanging="357"/>
            </w:pPr>
            <w:r w:rsidRPr="007648BD">
              <w:t xml:space="preserve">Considering the following two alternatives for semi-static power sharing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7648BD">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14:paraId="2D43A15E" w14:textId="77777777" w:rsidR="007648BD" w:rsidRPr="007648BD" w:rsidRDefault="007648BD" w:rsidP="001079D2">
            <w:pPr>
              <w:numPr>
                <w:ilvl w:val="1"/>
                <w:numId w:val="17"/>
              </w:numPr>
              <w:tabs>
                <w:tab w:val="num" w:pos="1440"/>
              </w:tabs>
              <w:spacing w:before="0" w:after="0"/>
              <w:ind w:hanging="357"/>
            </w:pPr>
            <w:r w:rsidRPr="007648BD">
              <w:t>Alt.1: For the uplink transmission in MCG, the UE checks the semi-statically configured direction of the overlapping symbols of all serving cells of SCG, and vice versa.</w:t>
            </w:r>
          </w:p>
          <w:p w14:paraId="16926F2A" w14:textId="19522EFA" w:rsidR="007648BD" w:rsidRPr="007648BD" w:rsidRDefault="007648BD" w:rsidP="001079D2">
            <w:pPr>
              <w:numPr>
                <w:ilvl w:val="2"/>
                <w:numId w:val="17"/>
              </w:numPr>
              <w:tabs>
                <w:tab w:val="num" w:pos="2160"/>
              </w:tabs>
              <w:spacing w:before="0" w:after="0"/>
              <w:ind w:hanging="357"/>
            </w:pPr>
            <w:r w:rsidRPr="007648BD">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7648BD">
              <w:t xml:space="preserve">in MCG such that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7648BD">
              <w:t xml:space="preserve">; </w:t>
            </w:r>
          </w:p>
          <w:p w14:paraId="0ABF53D6" w14:textId="1E4F17B4" w:rsidR="007648BD" w:rsidRPr="007648BD" w:rsidRDefault="007648BD" w:rsidP="001079D2">
            <w:pPr>
              <w:numPr>
                <w:ilvl w:val="2"/>
                <w:numId w:val="17"/>
              </w:numPr>
              <w:tabs>
                <w:tab w:val="num" w:pos="2160"/>
              </w:tabs>
              <w:spacing w:before="0" w:after="0"/>
              <w:ind w:hanging="357"/>
            </w:pPr>
            <w:r w:rsidRPr="007648BD">
              <w:t xml:space="preserve">Otherwise (i.e. collides with only semi-static ‘DL’ symbols on all CCs of SCG),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7648BD">
              <w:t xml:space="preserve"> can be up to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7648BD">
              <w:t xml:space="preserve"> and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Pr="007648BD">
              <w:t xml:space="preserve"> can be up to </w:t>
            </w:r>
            <m:oMath>
              <m:r>
                <m:rPr>
                  <m:sty m:val="p"/>
                </m:rPr>
                <w:rPr>
                  <w:rFonts w:ascii="Cambria Math" w:hAnsi="Cambria Math"/>
                </w:rPr>
                <m:t> </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7648BD">
              <w:t xml:space="preserve">  .</w:t>
            </w:r>
          </w:p>
          <w:p w14:paraId="68FFE758" w14:textId="16CA33FD" w:rsidR="007648BD" w:rsidRPr="007648BD" w:rsidRDefault="007648BD" w:rsidP="001079D2">
            <w:pPr>
              <w:numPr>
                <w:ilvl w:val="3"/>
                <w:numId w:val="17"/>
              </w:numPr>
              <w:tabs>
                <w:tab w:val="num" w:pos="2880"/>
              </w:tabs>
              <w:spacing w:before="0" w:after="0"/>
              <w:ind w:hanging="357"/>
            </w:pPr>
            <w:r w:rsidRPr="007648BD">
              <w:lastRenderedPageBreak/>
              <w:t xml:space="preserve">Alt.1-1: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7648BD">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7648BD">
              <w:t xml:space="preserve">  are configured by RRC signaling. </w:t>
            </w:r>
          </w:p>
          <w:p w14:paraId="3C5B1A6C" w14:textId="67B6BC80" w:rsidR="007648BD" w:rsidRPr="007648BD" w:rsidRDefault="007648BD" w:rsidP="001079D2">
            <w:pPr>
              <w:numPr>
                <w:ilvl w:val="3"/>
                <w:numId w:val="17"/>
              </w:numPr>
              <w:tabs>
                <w:tab w:val="num" w:pos="2880"/>
              </w:tabs>
              <w:spacing w:before="0" w:after="0"/>
              <w:ind w:hanging="357"/>
            </w:pPr>
            <w:r w:rsidRPr="007648BD">
              <w:t xml:space="preserve">Alt.1-2: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7648BD">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7648BD">
              <w:t xml:space="preserve">  are determined by RAN4 requirement. </w:t>
            </w:r>
          </w:p>
          <w:p w14:paraId="59519FD5" w14:textId="3A11E2D8" w:rsidR="00CC3869" w:rsidRDefault="007648BD" w:rsidP="001079D2">
            <w:pPr>
              <w:numPr>
                <w:ilvl w:val="1"/>
                <w:numId w:val="17"/>
              </w:numPr>
              <w:spacing w:before="0" w:after="0"/>
              <w:ind w:hanging="357"/>
            </w:pPr>
            <w:r w:rsidRPr="007648BD">
              <w:t xml:space="preserve">Alt.2: For the uplink transmission in MCG and in SCG, UE limits its actual transmission power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7648BD">
              <w:t xml:space="preserve"> to be up to</w:t>
            </w:r>
            <m:oMath>
              <m:sSub>
                <m:sSubPr>
                  <m:ctrlPr>
                    <w:rPr>
                      <w:rFonts w:ascii="Cambria Math" w:hAnsi="Cambria Math"/>
                      <w:i/>
                      <w:iCs/>
                    </w:rPr>
                  </m:ctrlPr>
                </m:sSubPr>
                <m:e>
                  <m:r>
                    <m:rPr>
                      <m:sty m:val="p"/>
                    </m:rPr>
                    <w:rPr>
                      <w:rFonts w:ascii="Cambria Math" w:hAnsi="Cambria Math"/>
                    </w:rPr>
                    <m:t> P</m:t>
                  </m:r>
                </m:e>
                <m:sub>
                  <m:r>
                    <m:rPr>
                      <m:sty m:val="p"/>
                    </m:rPr>
                    <w:rPr>
                      <w:rFonts w:ascii="Cambria Math" w:hAnsi="Cambria Math"/>
                    </w:rPr>
                    <m:t>MCG</m:t>
                  </m:r>
                </m:sub>
              </m:sSub>
            </m:oMath>
            <w:r w:rsidRPr="007648BD">
              <w:t xml:space="preserve">and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Pr="007648BD">
              <w:t xml:space="preserve"> to be up to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p>
        </w:tc>
      </w:tr>
    </w:tbl>
    <w:p w14:paraId="5D6DEEC5" w14:textId="77777777" w:rsidR="00CC3869" w:rsidRDefault="00CC3869" w:rsidP="002F714F">
      <w:pPr>
        <w:jc w:val="both"/>
      </w:pPr>
    </w:p>
    <w:p w14:paraId="3E4247F3" w14:textId="77777777" w:rsidR="00275263" w:rsidRDefault="00214CB8" w:rsidP="002F714F">
      <w:pPr>
        <w:jc w:val="both"/>
      </w:pPr>
      <w:r>
        <w:t xml:space="preserve">We believe Alt.1 is </w:t>
      </w:r>
      <w:r w:rsidR="009457A6">
        <w:t xml:space="preserve">obviously </w:t>
      </w:r>
      <w:r>
        <w:t>superior to Alt.2</w:t>
      </w:r>
      <w:r w:rsidR="00BB333C">
        <w:t>.</w:t>
      </w:r>
    </w:p>
    <w:p w14:paraId="6AB5DA19" w14:textId="6238F600" w:rsidR="006A1587" w:rsidRDefault="00BB333C" w:rsidP="002F714F">
      <w:pPr>
        <w:jc w:val="both"/>
      </w:pPr>
      <w:r>
        <w:t>F</w:t>
      </w:r>
      <w:r w:rsidR="006A1587">
        <w:t>rom the network side, the following step should be taken for each UE:</w:t>
      </w:r>
    </w:p>
    <w:p w14:paraId="698BADE9" w14:textId="118B8717"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 xml:space="preserve">A UE should be configured with </w:t>
      </w:r>
      <w:r w:rsidR="00630F9B">
        <w:rPr>
          <w:rFonts w:ascii="Times New Roman" w:hAnsi="Times New Roman"/>
          <w:sz w:val="20"/>
        </w:rPr>
        <w:t>a set of</w:t>
      </w:r>
      <w:r w:rsidRPr="006A1587">
        <w:rPr>
          <w:rFonts w:ascii="Times New Roman" w:hAnsi="Times New Roman"/>
          <w:sz w:val="20"/>
        </w:rPr>
        <w:t xml:space="preserve"> maximum allowed powers for each cell group</w:t>
      </w:r>
      <w:r w:rsidR="0009389C">
        <w:rPr>
          <w:rFonts w:ascii="Times New Roman" w:hAnsi="Times New Roman"/>
          <w:sz w:val="20"/>
        </w:rPr>
        <w:t xml:space="preserve"> such that P_NR1 + P_NR2 &lt;= P_NN.</w:t>
      </w:r>
    </w:p>
    <w:p w14:paraId="4172B1D6" w14:textId="5D91492C" w:rsidR="006A1587" w:rsidRPr="00275263" w:rsidRDefault="0009389C" w:rsidP="006A1587">
      <w:pPr>
        <w:pStyle w:val="ListParagraph"/>
        <w:numPr>
          <w:ilvl w:val="0"/>
          <w:numId w:val="8"/>
        </w:numPr>
        <w:jc w:val="both"/>
        <w:rPr>
          <w:rFonts w:ascii="Times New Roman" w:hAnsi="Times New Roman"/>
          <w:sz w:val="20"/>
        </w:rPr>
      </w:pPr>
      <w:r>
        <w:rPr>
          <w:rFonts w:ascii="Times New Roman" w:hAnsi="Times New Roman"/>
          <w:sz w:val="20"/>
        </w:rPr>
        <w:t xml:space="preserve">Additionally, the UE can be configured with P_NR1’ and P_NR2’, which can each be equal to P_NN. In other words, P_NR1’+P_NR2’ &lt; = &gt; P_NN. </w:t>
      </w:r>
    </w:p>
    <w:p w14:paraId="05950758" w14:textId="77777777" w:rsidR="00275263" w:rsidRDefault="00275263" w:rsidP="006A1587">
      <w:pPr>
        <w:jc w:val="both"/>
      </w:pPr>
    </w:p>
    <w:p w14:paraId="7A2C8085" w14:textId="29B0FADF" w:rsidR="006A1587" w:rsidRDefault="006A1587" w:rsidP="006A1587">
      <w:pPr>
        <w:jc w:val="both"/>
      </w:pPr>
      <w:r w:rsidRPr="00046296">
        <w:t xml:space="preserve">From the UE side, the following behavior </w:t>
      </w:r>
      <w:r w:rsidR="00476CEE">
        <w:t>is expected</w:t>
      </w:r>
      <w:r w:rsidRPr="00046296">
        <w:t>:</w:t>
      </w:r>
    </w:p>
    <w:p w14:paraId="2BDB6ECD" w14:textId="4FA5EB4E" w:rsidR="00046296" w:rsidRDefault="006A1587" w:rsidP="006A1587">
      <w:pPr>
        <w:pStyle w:val="ListParagraph"/>
        <w:numPr>
          <w:ilvl w:val="0"/>
          <w:numId w:val="9"/>
        </w:numPr>
        <w:jc w:val="both"/>
        <w:rPr>
          <w:rFonts w:ascii="Times New Roman" w:hAnsi="Times New Roman"/>
          <w:sz w:val="20"/>
        </w:rPr>
      </w:pPr>
      <w:r>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associated with the serving group from set 1. Otherwise, if at least one symbol of any of the serving cells of the other serving group is configured as `uplink’ or `flexible’, then the UE selects the maximum power from set 2. </w:t>
      </w:r>
    </w:p>
    <w:p w14:paraId="125B145F" w14:textId="5E94FABE" w:rsidR="00046296" w:rsidRDefault="00046296" w:rsidP="00046296"/>
    <w:p w14:paraId="2B639409" w14:textId="591A82D8" w:rsidR="00700DD5" w:rsidRDefault="0009389C" w:rsidP="00700DD5">
      <w:pPr>
        <w:keepNext/>
        <w:jc w:val="center"/>
      </w:pPr>
      <w:r>
        <w:object w:dxaOrig="16859" w:dyaOrig="8990" w14:anchorId="43EF8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251.45pt" o:ole="">
            <v:imagedata r:id="rId11" o:title=""/>
          </v:shape>
          <o:OLEObject Type="Embed" ProgID="Visio.Drawing.15" ShapeID="_x0000_i1025" DrawAspect="Content" ObjectID="_1631779130" r:id="rId12"/>
        </w:object>
      </w:r>
    </w:p>
    <w:p w14:paraId="1FA20839" w14:textId="043A6E29" w:rsidR="009D02AC" w:rsidRDefault="00700DD5" w:rsidP="00647C43">
      <w:pPr>
        <w:pStyle w:val="Caption"/>
        <w:jc w:val="center"/>
      </w:pPr>
      <w:r w:rsidRPr="001930F2">
        <w:t xml:space="preserve">Figure </w:t>
      </w:r>
      <w:r w:rsidR="0009389C">
        <w:rPr>
          <w:noProof/>
        </w:rPr>
        <w:t>1</w:t>
      </w:r>
      <w:r w:rsidRPr="001930F2">
        <w:t>: An illustration of the proposed uplink power control scheme.</w:t>
      </w:r>
    </w:p>
    <w:p w14:paraId="55980E3D" w14:textId="77777777" w:rsidR="009D02AC" w:rsidRDefault="009D02AC" w:rsidP="00F50711">
      <w:pPr>
        <w:jc w:val="both"/>
      </w:pPr>
    </w:p>
    <w:p w14:paraId="0999D1BE" w14:textId="424DF8E0" w:rsidR="00700DD5" w:rsidRDefault="00700DD5" w:rsidP="00F50711">
      <w:pPr>
        <w:jc w:val="both"/>
      </w:pPr>
      <w:r>
        <w:t xml:space="preserve">In the example shown in Figure </w:t>
      </w:r>
      <w:r w:rsidR="0009389C">
        <w:t>1</w:t>
      </w:r>
      <w:r>
        <w:t xml:space="preserve">, the semi-statically configured slot formats on serving cells of the first cell group are </w:t>
      </w:r>
      <w:r w:rsidR="00F725E5">
        <w:t>illustrated. Then, on CC3 and for PUSCH1, the direction of all the overlapping symbols of serving cells in CG1 is set to downlink. Hence, at the time of transmission of PUSCH1, the UE is certain that PUSCH1 does not collide with any uplink channel on CG1; thus, it</w:t>
      </w:r>
      <w:r w:rsidR="0009389C">
        <w:t>s uplink transmission power could be up to P_NR2’</w:t>
      </w:r>
      <w:r w:rsidR="00F725E5">
        <w:t xml:space="preserve">.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w:t>
      </w:r>
      <w:proofErr w:type="spellStart"/>
      <w:r w:rsidR="00F725E5">
        <w:t>transmission</w:t>
      </w:r>
      <w:r w:rsidR="0009389C">
        <w:t>could</w:t>
      </w:r>
      <w:proofErr w:type="spellEnd"/>
      <w:r w:rsidR="0009389C">
        <w:t xml:space="preserve"> be only up to P_NR2.</w:t>
      </w:r>
    </w:p>
    <w:p w14:paraId="499F41D8" w14:textId="3D70F5EC" w:rsidR="00CF26FC" w:rsidRPr="00647C43" w:rsidRDefault="00DB41E8" w:rsidP="00F50711">
      <w:pPr>
        <w:jc w:val="both"/>
        <w:rPr>
          <w:rFonts w:eastAsia="MS Mincho"/>
          <w:lang w:eastAsia="ja-JP"/>
        </w:rPr>
      </w:pPr>
      <w:r>
        <w:lastRenderedPageBreak/>
        <w:t xml:space="preserve">As evident from the description of the proposed scheme, </w:t>
      </w:r>
      <w:r w:rsidR="005102D7">
        <w:t xml:space="preserve">for setting the </w:t>
      </w:r>
      <w:r w:rsidR="00F50711">
        <w:t xml:space="preserve">maximum power per cell group, the UE can only rely on the semi-static configuration of the other serving cell;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w:t>
      </w:r>
      <w:proofErr w:type="gramStart"/>
      <w:r w:rsidR="00700DD5">
        <w:t>sufficient</w:t>
      </w:r>
      <w:proofErr w:type="gramEnd"/>
      <w:r w:rsidR="00700DD5">
        <w:t xml:space="preserve"> flexibility for the network to balance the priority of the two groups by appropriately setting the maximum powers in each group. </w:t>
      </w:r>
      <w:r w:rsidR="00CF26FC">
        <w:rPr>
          <w:rFonts w:eastAsia="MS Mincho" w:hint="eastAsia"/>
          <w:lang w:eastAsia="ja-JP"/>
        </w:rPr>
        <w:t>N</w:t>
      </w:r>
      <w:r w:rsidR="00CF26FC">
        <w:rPr>
          <w:rFonts w:eastAsia="MS Mincho"/>
          <w:lang w:eastAsia="ja-JP"/>
        </w:rPr>
        <w:t xml:space="preserve">ote that the semi-statically configured direction check is not necessary for serving cells in the other frequency range; e.g., for an uplink transmission on CG1 in FR1, semi-statically configured directions for serving cells on CG1 in FR1 are checked. </w:t>
      </w:r>
    </w:p>
    <w:p w14:paraId="1D136146" w14:textId="57441684" w:rsidR="002E7AA9" w:rsidRDefault="007E0316" w:rsidP="00F50711">
      <w:pPr>
        <w:jc w:val="both"/>
      </w:pPr>
      <w:r>
        <w:t>Based on the above discussions, we propose:</w:t>
      </w:r>
    </w:p>
    <w:p w14:paraId="384BC4EF" w14:textId="4550AA54" w:rsidR="002E7AA9" w:rsidRDefault="007E0316" w:rsidP="002E7AA9">
      <w:pPr>
        <w:jc w:val="both"/>
        <w:rPr>
          <w:b/>
        </w:rPr>
      </w:pPr>
      <w:r w:rsidRPr="007E0316">
        <w:rPr>
          <w:b/>
        </w:rPr>
        <w:t xml:space="preserve">Proposal </w:t>
      </w:r>
      <w:r w:rsidR="00530396">
        <w:rPr>
          <w:b/>
        </w:rPr>
        <w:t>1</w:t>
      </w:r>
      <w:r w:rsidRPr="007E0316">
        <w:rPr>
          <w:b/>
        </w:rPr>
        <w:t xml:space="preserve">: </w:t>
      </w:r>
      <w:r w:rsidR="002E7AA9">
        <w:rPr>
          <w:b/>
        </w:rPr>
        <w:t>For uplink power control of NN-DC, the UE is configured with:</w:t>
      </w:r>
    </w:p>
    <w:p w14:paraId="1D1766F5"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60CAA4DB" w14:textId="43549BF3" w:rsidR="00C9740E" w:rsidRPr="00D86F52" w:rsidRDefault="009F51E5" w:rsidP="00647C43">
      <w:pPr>
        <w:pStyle w:val="ListParagraph"/>
        <w:jc w:val="both"/>
        <w:rPr>
          <w:rFonts w:ascii="Times New Roman" w:hAnsi="Times New Roman"/>
          <w:b/>
          <w:sz w:val="20"/>
        </w:rPr>
      </w:pPr>
      <w:r w:rsidRPr="00D86F52">
        <w:rPr>
          <w:rFonts w:ascii="Times New Roman" w:hAnsi="Times New Roman"/>
          <w:b/>
          <w:sz w:val="20"/>
        </w:rPr>
        <w:t xml:space="preserve">Additionally, the UE can be configured with P_NR1’ and P_NR2’, which can each be equal to P_NN. In other words, P_NR1’+P_NR2’ &lt; = &gt; P_NN. </w:t>
      </w:r>
    </w:p>
    <w:p w14:paraId="43D6581B" w14:textId="77777777" w:rsidR="009F51E5" w:rsidRPr="00647C43" w:rsidRDefault="009F51E5" w:rsidP="00647C43">
      <w:pPr>
        <w:pStyle w:val="ListParagraph"/>
        <w:jc w:val="both"/>
        <w:rPr>
          <w:b/>
        </w:rPr>
      </w:pPr>
    </w:p>
    <w:p w14:paraId="374811E6" w14:textId="77777777" w:rsidR="009F51E5" w:rsidRPr="009F51E5" w:rsidRDefault="009F51E5" w:rsidP="009F51E5">
      <w:pPr>
        <w:jc w:val="both"/>
        <w:rPr>
          <w:b/>
        </w:rPr>
      </w:pPr>
      <w:r w:rsidRPr="009F51E5">
        <w:rPr>
          <w:b/>
        </w:rPr>
        <w:t>From the UE side, the following behavior is expected:</w:t>
      </w:r>
    </w:p>
    <w:p w14:paraId="2053E4DD" w14:textId="61A0F297" w:rsidR="002E7AA9" w:rsidRPr="00926654" w:rsidRDefault="009F51E5" w:rsidP="00647C43">
      <w:pPr>
        <w:pStyle w:val="ListParagraph"/>
        <w:numPr>
          <w:ilvl w:val="0"/>
          <w:numId w:val="9"/>
        </w:numPr>
        <w:jc w:val="both"/>
      </w:pPr>
      <w:r w:rsidRPr="009F51E5">
        <w:rPr>
          <w:rFonts w:ascii="Times New Roman" w:hAnsi="Times New Roman"/>
          <w:b/>
          <w:sz w:val="20"/>
        </w:rPr>
        <w:t>For the uplink transmission in cell group 1, the UE checks the semi-statically configured direction of the overlapping symbols of all serving cells of cell group 2</w:t>
      </w:r>
      <w:r w:rsidR="00CA152C">
        <w:rPr>
          <w:rFonts w:ascii="Times New Roman" w:hAnsi="Times New Roman"/>
          <w:b/>
          <w:sz w:val="20"/>
        </w:rPr>
        <w:t xml:space="preserve"> and vice versa</w:t>
      </w:r>
      <w:r w:rsidRPr="009F51E5">
        <w:rPr>
          <w:rFonts w:ascii="Times New Roman" w:hAnsi="Times New Roman"/>
          <w:b/>
          <w:sz w:val="20"/>
        </w:rPr>
        <w:t xml:space="preserve">. </w:t>
      </w:r>
      <w:r w:rsidR="00CA152C">
        <w:rPr>
          <w:rFonts w:ascii="Times New Roman" w:hAnsi="Times New Roman"/>
          <w:b/>
          <w:sz w:val="20"/>
        </w:rPr>
        <w:t xml:space="preserve">The UE chooses the maximum power allowed per cell group based on whether its uplink transmission collides </w:t>
      </w:r>
      <w:r w:rsidR="004F153B">
        <w:rPr>
          <w:rFonts w:ascii="Times New Roman" w:hAnsi="Times New Roman"/>
          <w:b/>
          <w:sz w:val="20"/>
        </w:rPr>
        <w:t>with only semi-static ‘DL’ symbols, or with semi-static ‘UL’ and ‘flexible’ symbols.</w:t>
      </w:r>
      <w:r w:rsidR="00CA152C">
        <w:rPr>
          <w:rFonts w:ascii="Times New Roman" w:hAnsi="Times New Roman"/>
          <w:b/>
          <w:sz w:val="20"/>
        </w:rPr>
        <w:t xml:space="preserve"> </w:t>
      </w:r>
      <w:r w:rsidRPr="009F51E5">
        <w:rPr>
          <w:rFonts w:ascii="Times New Roman" w:hAnsi="Times New Roman"/>
          <w:b/>
          <w:sz w:val="20"/>
        </w:rPr>
        <w:t xml:space="preserve"> </w:t>
      </w:r>
    </w:p>
    <w:p w14:paraId="0628E5A6" w14:textId="6781F902" w:rsidR="00926654" w:rsidRDefault="00926654" w:rsidP="00926654">
      <w:pPr>
        <w:jc w:val="both"/>
      </w:pPr>
    </w:p>
    <w:p w14:paraId="003AAC5B" w14:textId="5363CBE0" w:rsidR="00585D94" w:rsidRDefault="00585D94" w:rsidP="00926654">
      <w:pPr>
        <w:jc w:val="both"/>
        <w:rPr>
          <w:rFonts w:eastAsia="MS Mincho"/>
          <w:lang w:eastAsia="ja-JP"/>
        </w:rPr>
      </w:pPr>
      <w:r>
        <w:rPr>
          <w:rFonts w:eastAsia="MS Mincho" w:hint="eastAsia"/>
          <w:lang w:eastAsia="ja-JP"/>
        </w:rPr>
        <w:t>N</w:t>
      </w:r>
      <w:r>
        <w:rPr>
          <w:rFonts w:eastAsia="MS Mincho"/>
          <w:lang w:eastAsia="ja-JP"/>
        </w:rPr>
        <w:t xml:space="preserve">ote that the UE check on semi-statically configured direction of overlapping symbols of the other cell group should </w:t>
      </w:r>
      <w:r w:rsidR="00946FD3">
        <w:rPr>
          <w:rFonts w:eastAsia="MS Mincho"/>
          <w:lang w:eastAsia="ja-JP"/>
        </w:rPr>
        <w:t xml:space="preserve">not require dynamic </w:t>
      </w:r>
      <w:r w:rsidR="00E5229F">
        <w:rPr>
          <w:rFonts w:eastAsia="MS Mincho"/>
          <w:lang w:eastAsia="ja-JP"/>
        </w:rPr>
        <w:t>behavior</w:t>
      </w:r>
      <w:r w:rsidR="00946FD3">
        <w:rPr>
          <w:rFonts w:eastAsia="MS Mincho"/>
          <w:lang w:eastAsia="ja-JP"/>
        </w:rPr>
        <w:t xml:space="preserve">; </w:t>
      </w:r>
      <w:r w:rsidR="009402AA">
        <w:rPr>
          <w:rFonts w:eastAsia="MS Mincho"/>
          <w:lang w:eastAsia="ja-JP"/>
        </w:rPr>
        <w:t>i.e.,</w:t>
      </w:r>
      <w:r w:rsidR="000A1092">
        <w:rPr>
          <w:rFonts w:eastAsia="MS Mincho"/>
          <w:lang w:eastAsia="ja-JP"/>
        </w:rPr>
        <w:t xml:space="preserve"> the semi-statically configured direction check </w:t>
      </w:r>
      <w:r w:rsidR="00ED0307">
        <w:rPr>
          <w:rFonts w:eastAsia="MS Mincho"/>
          <w:lang w:eastAsia="ja-JP"/>
        </w:rPr>
        <w:t xml:space="preserve">over serving cells </w:t>
      </w:r>
      <w:r w:rsidR="000A1092">
        <w:rPr>
          <w:rFonts w:eastAsia="MS Mincho"/>
          <w:lang w:eastAsia="ja-JP"/>
        </w:rPr>
        <w:t xml:space="preserve">should </w:t>
      </w:r>
      <w:r w:rsidR="00B21E6E">
        <w:rPr>
          <w:rFonts w:eastAsia="MS Mincho"/>
          <w:lang w:eastAsia="ja-JP"/>
        </w:rPr>
        <w:t xml:space="preserve">basically </w:t>
      </w:r>
      <w:r w:rsidR="000A1092">
        <w:rPr>
          <w:rFonts w:eastAsia="MS Mincho"/>
          <w:lang w:eastAsia="ja-JP"/>
        </w:rPr>
        <w:t xml:space="preserve">be </w:t>
      </w:r>
      <w:r w:rsidR="00B21E6E">
        <w:rPr>
          <w:rFonts w:eastAsia="MS Mincho"/>
          <w:lang w:eastAsia="ja-JP"/>
        </w:rPr>
        <w:t>according to</w:t>
      </w:r>
      <w:r w:rsidR="000A1092">
        <w:rPr>
          <w:rFonts w:eastAsia="MS Mincho"/>
          <w:lang w:eastAsia="ja-JP"/>
        </w:rPr>
        <w:t xml:space="preserve"> semi-static information</w:t>
      </w:r>
      <w:r w:rsidR="00C94010">
        <w:rPr>
          <w:rFonts w:eastAsia="MS Mincho"/>
          <w:lang w:eastAsia="ja-JP"/>
        </w:rPr>
        <w:t>.</w:t>
      </w:r>
      <w:r w:rsidR="00C3744E">
        <w:rPr>
          <w:rFonts w:eastAsia="MS Mincho"/>
          <w:lang w:eastAsia="ja-JP"/>
        </w:rPr>
        <w:t xml:space="preserve"> </w:t>
      </w:r>
      <w:r w:rsidR="00661FE0">
        <w:rPr>
          <w:rFonts w:eastAsia="MS Mincho"/>
          <w:lang w:eastAsia="ja-JP"/>
        </w:rPr>
        <w:t xml:space="preserve">For some extra factors such as timing accuracy, drift in case of asynchronous DC, </w:t>
      </w:r>
      <w:r w:rsidR="0037605F">
        <w:rPr>
          <w:rFonts w:eastAsia="MS Mincho"/>
          <w:lang w:eastAsia="ja-JP"/>
        </w:rPr>
        <w:t>there should be no specific requirements.</w:t>
      </w:r>
      <w:r w:rsidR="00EC27F1">
        <w:rPr>
          <w:rFonts w:eastAsia="MS Mincho"/>
          <w:lang w:eastAsia="ja-JP"/>
        </w:rPr>
        <w:t xml:space="preserve"> Considering that </w:t>
      </w:r>
      <w:r w:rsidR="00994535">
        <w:rPr>
          <w:rFonts w:eastAsia="MS Mincho"/>
          <w:lang w:eastAsia="ja-JP"/>
        </w:rPr>
        <w:t xml:space="preserve">the </w:t>
      </w:r>
      <w:r w:rsidR="00EC27F1">
        <w:rPr>
          <w:rFonts w:eastAsia="MS Mincho"/>
          <w:lang w:eastAsia="ja-JP"/>
        </w:rPr>
        <w:t>Alt.1 is equivalent to the above proposal 1, following proposal is made:</w:t>
      </w:r>
    </w:p>
    <w:p w14:paraId="62990EA8" w14:textId="58C43664" w:rsidR="00C94010" w:rsidRDefault="00C94010" w:rsidP="00C94010">
      <w:pPr>
        <w:jc w:val="both"/>
        <w:rPr>
          <w:b/>
        </w:rPr>
      </w:pPr>
      <w:r>
        <w:rPr>
          <w:b/>
        </w:rPr>
        <w:t>Support Alt.</w:t>
      </w:r>
      <w:r w:rsidR="00160917">
        <w:rPr>
          <w:b/>
        </w:rPr>
        <w:t>1</w:t>
      </w:r>
      <w:r>
        <w:rPr>
          <w:b/>
        </w:rPr>
        <w:t xml:space="preserve"> with the </w:t>
      </w:r>
      <w:r w:rsidR="00083D8D" w:rsidRPr="00083D8D">
        <w:rPr>
          <w:rFonts w:eastAsia="MS Mincho" w:hint="eastAsia"/>
          <w:b/>
          <w:u w:val="single"/>
          <w:lang w:eastAsia="ja-JP"/>
        </w:rPr>
        <w:t>u</w:t>
      </w:r>
      <w:r w:rsidR="00083D8D" w:rsidRPr="00083D8D">
        <w:rPr>
          <w:rFonts w:eastAsia="MS Mincho"/>
          <w:b/>
          <w:u w:val="single"/>
          <w:lang w:eastAsia="ja-JP"/>
        </w:rPr>
        <w:t>nderlined</w:t>
      </w:r>
      <w:r w:rsidR="00083D8D" w:rsidRPr="00083D8D">
        <w:rPr>
          <w:rFonts w:eastAsia="MS Mincho"/>
          <w:b/>
          <w:lang w:eastAsia="ja-JP"/>
        </w:rPr>
        <w:t xml:space="preserve"> </w:t>
      </w:r>
      <w:r>
        <w:rPr>
          <w:b/>
        </w:rPr>
        <w:t>clarification.</w:t>
      </w:r>
    </w:p>
    <w:p w14:paraId="3B512333" w14:textId="77777777" w:rsidR="00C94010" w:rsidRPr="00CD16D0" w:rsidRDefault="00C94010" w:rsidP="00C94010">
      <w:pPr>
        <w:numPr>
          <w:ilvl w:val="1"/>
          <w:numId w:val="17"/>
        </w:numPr>
        <w:tabs>
          <w:tab w:val="num" w:pos="1440"/>
        </w:tabs>
        <w:spacing w:after="0"/>
        <w:ind w:hanging="357"/>
        <w:rPr>
          <w:b/>
        </w:rPr>
      </w:pPr>
      <w:r w:rsidRPr="00CD16D0">
        <w:rPr>
          <w:b/>
        </w:rPr>
        <w:t>Alt.1: For the uplink transmission in MCG, the UE checks the semi-statically configured direction of the overlapping symbols of all serving cells of SCG, and vice versa.</w:t>
      </w:r>
    </w:p>
    <w:p w14:paraId="32C03F55" w14:textId="4F73B2C9" w:rsidR="00C94010" w:rsidRPr="00CD16D0" w:rsidRDefault="00C94010" w:rsidP="00C94010">
      <w:pPr>
        <w:numPr>
          <w:ilvl w:val="2"/>
          <w:numId w:val="17"/>
        </w:numPr>
        <w:tabs>
          <w:tab w:val="num" w:pos="2160"/>
        </w:tabs>
        <w:spacing w:after="0"/>
        <w:ind w:hanging="357"/>
        <w:rPr>
          <w:b/>
        </w:rPr>
      </w:pPr>
      <w:r w:rsidRPr="00CD16D0">
        <w:rPr>
          <w:b/>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CD16D0">
        <w:rPr>
          <w:b/>
        </w:rPr>
        <w:t xml:space="preserve">in MCG such that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r>
          <m:rPr>
            <m:sty m:val="b"/>
          </m:rPr>
          <w:rPr>
            <w:rFonts w:ascii="Cambria Math" w:hAnsi="Cambria Math"/>
          </w:rPr>
          <m:t>≤</m:t>
        </m:r>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CD16D0">
        <w:rPr>
          <w:b/>
        </w:rPr>
        <w:t xml:space="preserve">; </w:t>
      </w:r>
    </w:p>
    <w:p w14:paraId="144A779F" w14:textId="0B82905B" w:rsidR="00C94010" w:rsidRPr="00CD16D0" w:rsidRDefault="00C94010" w:rsidP="00C94010">
      <w:pPr>
        <w:numPr>
          <w:ilvl w:val="2"/>
          <w:numId w:val="17"/>
        </w:numPr>
        <w:tabs>
          <w:tab w:val="num" w:pos="2160"/>
        </w:tabs>
        <w:spacing w:after="0"/>
        <w:ind w:hanging="357"/>
        <w:rPr>
          <w:b/>
        </w:rPr>
      </w:pPr>
      <w:r w:rsidRPr="00CD16D0">
        <w:rPr>
          <w:b/>
        </w:rPr>
        <w:t xml:space="preserve">Otherwise (i.e. collides with only semi-static ‘DL’ symbols on all CCs of SCG),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CD16D0">
        <w:rPr>
          <w:b/>
        </w:rPr>
        <w:t xml:space="preserve"> can be up to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CD16D0">
        <w:rPr>
          <w:b/>
        </w:rPr>
        <w:t xml:space="preserve"> and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SCG</m:t>
            </m:r>
          </m:sub>
        </m:sSub>
      </m:oMath>
      <w:r w:rsidRPr="00CD16D0">
        <w:rPr>
          <w:b/>
        </w:rPr>
        <w:t xml:space="preserve"> can be up to </w:t>
      </w:r>
      <m:oMath>
        <m:r>
          <m:rPr>
            <m:sty m:val="b"/>
          </m:rPr>
          <w:rPr>
            <w:rFonts w:ascii="Cambria Math" w:hAnsi="Cambria Math"/>
          </w:rPr>
          <m:t> </m:t>
        </m:r>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CD16D0">
        <w:rPr>
          <w:b/>
        </w:rPr>
        <w:t xml:space="preserve">  .</w:t>
      </w:r>
    </w:p>
    <w:p w14:paraId="07DBDD24" w14:textId="5E08BC5F" w:rsidR="00C94010" w:rsidRPr="00CD16D0" w:rsidRDefault="00C94010" w:rsidP="00C94010">
      <w:pPr>
        <w:numPr>
          <w:ilvl w:val="3"/>
          <w:numId w:val="17"/>
        </w:numPr>
        <w:tabs>
          <w:tab w:val="num" w:pos="2880"/>
        </w:tabs>
        <w:spacing w:after="0"/>
        <w:ind w:hanging="357"/>
        <w:rPr>
          <w:b/>
        </w:rPr>
      </w:pPr>
      <w:r w:rsidRPr="00CD16D0">
        <w:rPr>
          <w:b/>
        </w:rPr>
        <w:t xml:space="preserve">Alt.1-1: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CD16D0">
        <w:rPr>
          <w:b/>
        </w:rPr>
        <w:t xml:space="preserve"> and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CD16D0">
        <w:rPr>
          <w:b/>
        </w:rPr>
        <w:t xml:space="preserve">  are configured by RRC signaling. </w:t>
      </w:r>
    </w:p>
    <w:p w14:paraId="18BF6168" w14:textId="7D50D4DA" w:rsidR="00C94010" w:rsidRPr="00CD16D0" w:rsidRDefault="00C94010" w:rsidP="00C94010">
      <w:pPr>
        <w:numPr>
          <w:ilvl w:val="3"/>
          <w:numId w:val="17"/>
        </w:numPr>
        <w:tabs>
          <w:tab w:val="num" w:pos="2880"/>
        </w:tabs>
        <w:spacing w:after="0"/>
        <w:ind w:hanging="357"/>
        <w:rPr>
          <w:b/>
        </w:rPr>
      </w:pPr>
      <w:r w:rsidRPr="00CD16D0">
        <w:rPr>
          <w:b/>
        </w:rPr>
        <w:t xml:space="preserve">Alt.1-2: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CD16D0">
        <w:rPr>
          <w:b/>
        </w:rPr>
        <w:t xml:space="preserve"> and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CD16D0">
        <w:rPr>
          <w:b/>
        </w:rPr>
        <w:t xml:space="preserve">  are determined by RAN4 requirement. </w:t>
      </w:r>
    </w:p>
    <w:p w14:paraId="664D2FA9" w14:textId="2D6905C5" w:rsidR="00C94010" w:rsidRPr="00CD16D0" w:rsidRDefault="00C94010" w:rsidP="00383D54">
      <w:pPr>
        <w:numPr>
          <w:ilvl w:val="2"/>
          <w:numId w:val="17"/>
        </w:numPr>
        <w:tabs>
          <w:tab w:val="num" w:pos="2880"/>
          <w:tab w:val="left" w:pos="4678"/>
        </w:tabs>
        <w:spacing w:after="0"/>
        <w:rPr>
          <w:b/>
          <w:u w:val="single"/>
        </w:rPr>
      </w:pPr>
      <w:bookmarkStart w:id="2" w:name="_GoBack"/>
      <w:bookmarkEnd w:id="2"/>
      <w:r w:rsidRPr="00CD16D0">
        <w:rPr>
          <w:b/>
          <w:u w:val="single"/>
        </w:rPr>
        <w:t xml:space="preserve">It is up to UE to determine whether the overlapping with UL transmission on the SCG is possible, if/when factors other than the TDD UL-DL configurations of the serving cells in the SCG </w:t>
      </w:r>
      <w:r w:rsidR="00EA1C2C" w:rsidRPr="00CD16D0">
        <w:rPr>
          <w:b/>
          <w:u w:val="single"/>
        </w:rPr>
        <w:t xml:space="preserve">(e.g., timing difference, </w:t>
      </w:r>
      <w:r w:rsidR="00383D54" w:rsidRPr="00CD16D0">
        <w:rPr>
          <w:b/>
          <w:u w:val="single"/>
        </w:rPr>
        <w:t>drift</w:t>
      </w:r>
      <w:r w:rsidR="00EA1C2C" w:rsidRPr="00CD16D0">
        <w:rPr>
          <w:b/>
          <w:u w:val="single"/>
        </w:rPr>
        <w:t xml:space="preserve">) </w:t>
      </w:r>
      <w:r w:rsidRPr="00CD16D0">
        <w:rPr>
          <w:b/>
          <w:u w:val="single"/>
        </w:rPr>
        <w:t xml:space="preserve">need to be </w:t>
      </w:r>
      <w:proofErr w:type="gramStart"/>
      <w:r w:rsidRPr="00CD16D0">
        <w:rPr>
          <w:b/>
          <w:u w:val="single"/>
        </w:rPr>
        <w:t>taken into account</w:t>
      </w:r>
      <w:proofErr w:type="gramEnd"/>
      <w:r w:rsidRPr="00CD16D0">
        <w:rPr>
          <w:b/>
          <w:u w:val="single"/>
        </w:rPr>
        <w:t>.</w:t>
      </w:r>
    </w:p>
    <w:p w14:paraId="1976D8D3" w14:textId="77777777" w:rsidR="00946FD3" w:rsidRPr="00383D54" w:rsidRDefault="00946FD3" w:rsidP="00926654">
      <w:pPr>
        <w:jc w:val="both"/>
        <w:rPr>
          <w:rFonts w:eastAsia="MS Mincho"/>
          <w:lang w:eastAsia="ja-JP"/>
        </w:rPr>
      </w:pPr>
    </w:p>
    <w:p w14:paraId="056595DB" w14:textId="2B9B6B43" w:rsidR="00335267" w:rsidRDefault="00335267" w:rsidP="00335267">
      <w:pPr>
        <w:pStyle w:val="Heading1"/>
        <w:jc w:val="both"/>
        <w:rPr>
          <w:rFonts w:ascii="Times New Roman" w:hAnsi="Times New Roman"/>
        </w:rPr>
      </w:pPr>
      <w:r>
        <w:rPr>
          <w:rFonts w:ascii="Times New Roman" w:hAnsi="Times New Roman"/>
        </w:rPr>
        <w:t>Analysis of Dynamic Power Control Schemes</w:t>
      </w:r>
    </w:p>
    <w:p w14:paraId="0B8CF3D1" w14:textId="23C770E1" w:rsidR="00995C5C" w:rsidRDefault="00811C40" w:rsidP="002E7AA9">
      <w:pPr>
        <w:jc w:val="both"/>
        <w:rPr>
          <w:rFonts w:eastAsia="MS Mincho"/>
          <w:lang w:eastAsia="ja-JP"/>
        </w:rPr>
      </w:pPr>
      <w:r>
        <w:rPr>
          <w:rFonts w:eastAsia="MS Mincho"/>
          <w:lang w:eastAsia="ja-JP"/>
        </w:rPr>
        <w:t xml:space="preserve">There </w:t>
      </w:r>
      <w:r w:rsidR="00A61B70">
        <w:rPr>
          <w:rFonts w:eastAsia="MS Mincho"/>
          <w:lang w:eastAsia="ja-JP"/>
        </w:rPr>
        <w:t>have been</w:t>
      </w:r>
      <w:r>
        <w:rPr>
          <w:rFonts w:eastAsia="MS Mincho"/>
          <w:lang w:eastAsia="ja-JP"/>
        </w:rPr>
        <w:t xml:space="preserve"> various </w:t>
      </w:r>
      <w:r w:rsidR="00A61B70">
        <w:rPr>
          <w:rFonts w:eastAsia="MS Mincho"/>
          <w:lang w:eastAsia="ja-JP"/>
        </w:rPr>
        <w:t>aspects</w:t>
      </w:r>
      <w:r>
        <w:rPr>
          <w:rFonts w:eastAsia="MS Mincho"/>
          <w:lang w:eastAsia="ja-JP"/>
        </w:rPr>
        <w:t xml:space="preserve"> </w:t>
      </w:r>
      <w:r w:rsidR="00A61B70">
        <w:rPr>
          <w:rFonts w:eastAsia="MS Mincho"/>
          <w:lang w:eastAsia="ja-JP"/>
        </w:rPr>
        <w:t xml:space="preserve">that need to be resolved </w:t>
      </w:r>
      <w:r>
        <w:rPr>
          <w:rFonts w:eastAsia="MS Mincho"/>
          <w:lang w:eastAsia="ja-JP"/>
        </w:rPr>
        <w:t xml:space="preserve">for dynamic power sharing, as </w:t>
      </w:r>
      <w:r w:rsidR="00A85F04">
        <w:rPr>
          <w:rFonts w:eastAsia="MS Mincho"/>
          <w:lang w:eastAsia="ja-JP"/>
        </w:rPr>
        <w:t>presented in the feature lead summary [</w:t>
      </w:r>
      <w:r w:rsidR="0072280B">
        <w:rPr>
          <w:rFonts w:eastAsia="MS Mincho"/>
          <w:lang w:eastAsia="ja-JP"/>
        </w:rPr>
        <w:t>2</w:t>
      </w:r>
      <w:r w:rsidR="00A85F04">
        <w:rPr>
          <w:rFonts w:eastAsia="MS Mincho"/>
          <w:lang w:eastAsia="ja-JP"/>
        </w:rPr>
        <w:t>]:</w:t>
      </w:r>
    </w:p>
    <w:tbl>
      <w:tblPr>
        <w:tblStyle w:val="TableGrid"/>
        <w:tblW w:w="0" w:type="auto"/>
        <w:tblLook w:val="04A0" w:firstRow="1" w:lastRow="0" w:firstColumn="1" w:lastColumn="0" w:noHBand="0" w:noVBand="1"/>
      </w:tblPr>
      <w:tblGrid>
        <w:gridCol w:w="9962"/>
      </w:tblGrid>
      <w:tr w:rsidR="00A85F04" w14:paraId="72A50E87" w14:textId="77777777" w:rsidTr="00A85F04">
        <w:tc>
          <w:tcPr>
            <w:tcW w:w="9962" w:type="dxa"/>
          </w:tcPr>
          <w:p w14:paraId="68100CFB" w14:textId="77777777" w:rsidR="00A85F04" w:rsidRPr="00E8420D" w:rsidRDefault="00A85F04" w:rsidP="00A85F04">
            <w:pPr>
              <w:pStyle w:val="ListParagraph"/>
              <w:numPr>
                <w:ilvl w:val="0"/>
                <w:numId w:val="15"/>
              </w:numPr>
              <w:overflowPunct w:val="0"/>
              <w:autoSpaceDE w:val="0"/>
              <w:autoSpaceDN w:val="0"/>
              <w:adjustRightInd w:val="0"/>
              <w:ind w:left="360"/>
              <w:contextualSpacing/>
              <w:textAlignment w:val="baseline"/>
              <w:rPr>
                <w:rFonts w:ascii="Times" w:hAnsi="Times" w:cs="Times"/>
                <w:sz w:val="20"/>
              </w:rPr>
            </w:pPr>
            <w:r w:rsidRPr="00E8420D">
              <w:rPr>
                <w:rFonts w:ascii="Times" w:hAnsi="Times" w:cs="Times"/>
                <w:sz w:val="20"/>
              </w:rPr>
              <w:t xml:space="preserve">When UE is configured with </w:t>
            </w:r>
            <m:oMath>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MCG</m:t>
                  </m:r>
                </m:sub>
              </m:sSub>
              <m:r>
                <w:rPr>
                  <w:rFonts w:ascii="Cambria Math" w:hAnsi="Cambria Math" w:cs="Times"/>
                  <w:sz w:val="20"/>
                </w:rPr>
                <m:t>+</m:t>
              </m:r>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SCG</m:t>
                  </m:r>
                </m:sub>
              </m:sSub>
              <m:r>
                <w:rPr>
                  <w:rFonts w:ascii="Cambria Math" w:hAnsi="Cambria Math" w:cs="Times"/>
                  <w:sz w:val="20"/>
                </w:rPr>
                <m:t>&gt;</m:t>
              </m:r>
              <m:sSubSup>
                <m:sSubSupPr>
                  <m:ctrlPr>
                    <w:rPr>
                      <w:rFonts w:ascii="Cambria Math" w:hAnsi="Cambria Math" w:cs="Times"/>
                      <w:i/>
                      <w:sz w:val="20"/>
                    </w:rPr>
                  </m:ctrlPr>
                </m:sSubSupPr>
                <m:e>
                  <m:r>
                    <w:rPr>
                      <w:rFonts w:ascii="Cambria Math" w:hAnsi="Cambria Math" w:cs="Times"/>
                      <w:sz w:val="20"/>
                    </w:rPr>
                    <m:t>P</m:t>
                  </m:r>
                </m:e>
                <m:sub>
                  <m:r>
                    <w:rPr>
                      <w:rFonts w:ascii="Cambria Math" w:hAnsi="Cambria Math" w:cs="Times"/>
                      <w:sz w:val="20"/>
                    </w:rPr>
                    <m:t>Total</m:t>
                  </m:r>
                </m:sub>
                <m:sup>
                  <m:r>
                    <w:rPr>
                      <w:rFonts w:ascii="Cambria Math" w:hAnsi="Cambria Math" w:cs="Times"/>
                      <w:sz w:val="20"/>
                    </w:rPr>
                    <m:t>NR-NR DC</m:t>
                  </m:r>
                </m:sup>
              </m:sSubSup>
              <m:r>
                <m:rPr>
                  <m:sty m:val="p"/>
                </m:rPr>
                <w:rPr>
                  <w:rFonts w:ascii="Cambria Math" w:hAnsi="Cambria Math" w:cs="Times"/>
                  <w:sz w:val="20"/>
                </w:rPr>
                <m:t xml:space="preserve">  </m:t>
              </m:r>
            </m:oMath>
            <w:r w:rsidRPr="00E8420D">
              <w:rPr>
                <w:rFonts w:ascii="Times" w:hAnsi="Times" w:cs="Times"/>
                <w:sz w:val="20"/>
              </w:rPr>
              <w:t xml:space="preserve"> (i.e. dynamic power sharing operation) for NN-DC </w:t>
            </w:r>
          </w:p>
          <w:p w14:paraId="4ACEE395"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The prioritization rule for UL channels in case of power-limited is as follows </w:t>
            </w:r>
          </w:p>
          <w:p w14:paraId="7DFDA244"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Alt.1: MCG&gt;SCG, and then apply Rel-15 rule for each CG. </w:t>
            </w:r>
          </w:p>
          <w:p w14:paraId="0647146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lastRenderedPageBreak/>
              <w:t xml:space="preserve">Alt.2: Reusing Rel-15 CA rule across CCs of CGs </w:t>
            </w:r>
          </w:p>
          <w:p w14:paraId="6FE747A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Alt.3: CG prioritization is determined by time pattern or dynamic indication, and then apply Rel-15 rule with potential update considering URLLC priority for each CG.</w:t>
            </w:r>
          </w:p>
          <w:p w14:paraId="16B5ACE3"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Note that the above prioritization order does not impact on the minimum guaranteed power if it is agreed to be supported.</w:t>
            </w:r>
          </w:p>
          <w:p w14:paraId="52B64FD0"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FFS: </w:t>
            </w:r>
          </w:p>
          <w:p w14:paraId="3720C61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Following power prioritization rule is applied either Alt.1, Alt.2 or Alt.3 that is agreed. </w:t>
            </w:r>
          </w:p>
          <w:p w14:paraId="7F5D216B"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If URLLC transmission happens at only one CG, URLLC transmission has higher priority than the others  </w:t>
            </w:r>
          </w:p>
          <w:p w14:paraId="32D812BD"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The following is considered regarding ‘look-ahead’ operation </w:t>
            </w:r>
          </w:p>
          <w:p w14:paraId="2653A2B8"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Alt.1: To compute the transmit power for MCG (or SCG) UL transmission starting at time T0, UE checks for PDCCH(s) received before time T0-T_offset that trigger an overlapping SCG (or MCG) UL transmission. </w:t>
            </w:r>
          </w:p>
          <w:p w14:paraId="71964050"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FFS on the exact value of </w:t>
            </w:r>
            <w:proofErr w:type="spellStart"/>
            <w:r w:rsidRPr="00E8420D">
              <w:rPr>
                <w:rFonts w:ascii="Times" w:hAnsi="Times" w:cs="Times"/>
                <w:i/>
                <w:sz w:val="20"/>
              </w:rPr>
              <w:t>T_offset</w:t>
            </w:r>
            <w:proofErr w:type="spellEnd"/>
            <w:r w:rsidRPr="00E8420D">
              <w:rPr>
                <w:rFonts w:ascii="Times" w:hAnsi="Times" w:cs="Times"/>
                <w:i/>
                <w:sz w:val="20"/>
              </w:rPr>
              <w:t xml:space="preserve">. </w:t>
            </w:r>
          </w:p>
          <w:p w14:paraId="2C2E243E"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Alt.2: </w:t>
            </w:r>
            <w:proofErr w:type="gramStart"/>
            <w:r w:rsidRPr="00E8420D">
              <w:rPr>
                <w:rFonts w:ascii="Times" w:hAnsi="Times" w:cs="Times"/>
                <w:i/>
                <w:sz w:val="20"/>
              </w:rPr>
              <w:t>Similar to</w:t>
            </w:r>
            <w:proofErr w:type="gramEnd"/>
            <w:r w:rsidRPr="00E8420D">
              <w:rPr>
                <w:rFonts w:ascii="Times" w:hAnsi="Times" w:cs="Times"/>
                <w:i/>
                <w:sz w:val="20"/>
              </w:rPr>
              <w:t xml:space="preserve"> EN-DC, the SCG power is scaled dependent of the power scheduled for MCG.</w:t>
            </w:r>
          </w:p>
          <w:p w14:paraId="013116A6"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lang w:eastAsia="zh-CN"/>
              </w:rPr>
              <w:t xml:space="preserve">The MCG scheduling timing is slowed down as compared to SCG. </w:t>
            </w:r>
            <w:r w:rsidRPr="00E8420D">
              <w:rPr>
                <w:rFonts w:ascii="Times" w:hAnsi="Times" w:cs="Times"/>
                <w:i/>
                <w:sz w:val="20"/>
              </w:rPr>
              <w:t xml:space="preserve"> </w:t>
            </w:r>
          </w:p>
          <w:p w14:paraId="1CB8A52A" w14:textId="1ABFA48E" w:rsidR="00A85F04" w:rsidRPr="00647C43" w:rsidRDefault="00A85F04" w:rsidP="00647C43">
            <w:pPr>
              <w:pStyle w:val="ListParagraph"/>
              <w:numPr>
                <w:ilvl w:val="1"/>
                <w:numId w:val="16"/>
              </w:numPr>
              <w:overflowPunct w:val="0"/>
              <w:autoSpaceDE w:val="0"/>
              <w:autoSpaceDN w:val="0"/>
              <w:adjustRightInd w:val="0"/>
              <w:contextualSpacing/>
              <w:textAlignment w:val="baseline"/>
              <w:rPr>
                <w:rFonts w:ascii="Times" w:hAnsi="Times" w:cs="Times"/>
                <w:i/>
              </w:rPr>
            </w:pPr>
            <w:r w:rsidRPr="00E8420D">
              <w:rPr>
                <w:rFonts w:ascii="Times" w:hAnsi="Times" w:cs="Times"/>
                <w:i/>
                <w:sz w:val="20"/>
              </w:rPr>
              <w:t>Alt.3: Per transmission occasion, the sum power over all serving cells of MCG is computed, and the sum power is passed to SCG. The SCG then determines its sum available power in that occasion. Per CG, then power is distributed according to the NR CA priority rules</w:t>
            </w:r>
          </w:p>
        </w:tc>
      </w:tr>
    </w:tbl>
    <w:p w14:paraId="1947D009" w14:textId="448DD892" w:rsidR="00A85F04" w:rsidRDefault="00A85F04" w:rsidP="002E7AA9">
      <w:pPr>
        <w:jc w:val="both"/>
        <w:rPr>
          <w:rFonts w:eastAsia="MS Mincho"/>
          <w:lang w:eastAsia="ja-JP"/>
        </w:rPr>
      </w:pPr>
    </w:p>
    <w:p w14:paraId="10BA3D12" w14:textId="6FBE44D1" w:rsidR="00FD175D" w:rsidRDefault="00FD175D" w:rsidP="002E7AA9">
      <w:pPr>
        <w:jc w:val="both"/>
        <w:rPr>
          <w:rFonts w:eastAsia="MS Mincho"/>
          <w:lang w:eastAsia="ja-JP"/>
        </w:rPr>
      </w:pPr>
      <w:r>
        <w:rPr>
          <w:rFonts w:eastAsia="MS Mincho" w:hint="eastAsia"/>
          <w:lang w:eastAsia="ja-JP"/>
        </w:rPr>
        <w:t>A</w:t>
      </w:r>
      <w:r>
        <w:rPr>
          <w:rFonts w:eastAsia="MS Mincho"/>
          <w:lang w:eastAsia="ja-JP"/>
        </w:rPr>
        <w:t>t the RAN1#98 meeting, following agreement has been made:</w:t>
      </w:r>
    </w:p>
    <w:tbl>
      <w:tblPr>
        <w:tblStyle w:val="TableGrid"/>
        <w:tblW w:w="0" w:type="auto"/>
        <w:tblLook w:val="04A0" w:firstRow="1" w:lastRow="0" w:firstColumn="1" w:lastColumn="0" w:noHBand="0" w:noVBand="1"/>
      </w:tblPr>
      <w:tblGrid>
        <w:gridCol w:w="9962"/>
      </w:tblGrid>
      <w:tr w:rsidR="00FD175D" w14:paraId="7AC9078A" w14:textId="77777777" w:rsidTr="00FD175D">
        <w:tc>
          <w:tcPr>
            <w:tcW w:w="9962" w:type="dxa"/>
          </w:tcPr>
          <w:p w14:paraId="08C0E7DB" w14:textId="77777777" w:rsidR="006A30F7" w:rsidRDefault="006A30F7" w:rsidP="006A30F7">
            <w:pPr>
              <w:spacing w:before="0" w:after="0"/>
            </w:pPr>
            <w:r w:rsidRPr="002534FE">
              <w:rPr>
                <w:highlight w:val="green"/>
              </w:rPr>
              <w:t>Agreements</w:t>
            </w:r>
            <w:r>
              <w:t>:</w:t>
            </w:r>
          </w:p>
          <w:p w14:paraId="009F4FE7" w14:textId="79743CFA" w:rsidR="00FD175D" w:rsidRPr="006A30F7" w:rsidRDefault="006A30F7" w:rsidP="006A30F7">
            <w:pPr>
              <w:numPr>
                <w:ilvl w:val="0"/>
                <w:numId w:val="18"/>
              </w:numPr>
              <w:overflowPunct/>
              <w:autoSpaceDE/>
              <w:autoSpaceDN/>
              <w:adjustRightInd/>
              <w:spacing w:before="0" w:after="0"/>
              <w:ind w:left="1077" w:hanging="357"/>
              <w:textAlignment w:val="auto"/>
            </w:pPr>
            <w:r w:rsidRPr="002534FE">
              <w:t xml:space="preserve">Aim to reuse the existing CA power determination for uplink transmissions on CC(s) in a same CG. </w:t>
            </w:r>
          </w:p>
        </w:tc>
      </w:tr>
    </w:tbl>
    <w:p w14:paraId="71630048" w14:textId="77777777" w:rsidR="00FD175D" w:rsidRDefault="00FD175D" w:rsidP="002E7AA9">
      <w:pPr>
        <w:jc w:val="both"/>
        <w:rPr>
          <w:rFonts w:eastAsia="MS Mincho"/>
          <w:lang w:eastAsia="ja-JP"/>
        </w:rPr>
      </w:pPr>
    </w:p>
    <w:p w14:paraId="50E67A87" w14:textId="6783E278" w:rsidR="004972FF" w:rsidRPr="004972FF" w:rsidRDefault="004972FF" w:rsidP="002E7AA9">
      <w:pPr>
        <w:jc w:val="both"/>
        <w:rPr>
          <w:rFonts w:eastAsia="MS Mincho"/>
          <w:lang w:eastAsia="ja-JP"/>
        </w:rPr>
      </w:pPr>
      <w:r w:rsidRPr="00596F0F">
        <w:t>In the remainder of this section, we provide some considerations on the proposed dynamic power control schemes.</w:t>
      </w:r>
    </w:p>
    <w:p w14:paraId="151E0551" w14:textId="35422182" w:rsidR="00A85F04" w:rsidRDefault="00A85F04" w:rsidP="002E7AA9">
      <w:pPr>
        <w:jc w:val="both"/>
        <w:rPr>
          <w:rFonts w:eastAsia="MS Mincho"/>
          <w:lang w:eastAsia="ja-JP"/>
        </w:rPr>
      </w:pPr>
      <w:r w:rsidRPr="00647C43">
        <w:rPr>
          <w:rFonts w:eastAsia="MS Mincho"/>
          <w:b/>
          <w:u w:val="single"/>
          <w:lang w:eastAsia="ja-JP"/>
        </w:rPr>
        <w:t>On the prioritization rule for UL channels in case of power-limited</w:t>
      </w:r>
      <w:r>
        <w:rPr>
          <w:rFonts w:eastAsia="MS Mincho"/>
          <w:lang w:eastAsia="ja-JP"/>
        </w:rPr>
        <w:t xml:space="preserve">: With Alt. 2, </w:t>
      </w:r>
      <w:r w:rsidRPr="00A85F04">
        <w:rPr>
          <w:rFonts w:eastAsia="MS Mincho"/>
          <w:lang w:eastAsia="ja-JP"/>
        </w:rPr>
        <w:t xml:space="preserve">the UE has to check the type of the channels and their contents on both </w:t>
      </w:r>
      <w:proofErr w:type="gramStart"/>
      <w:r w:rsidRPr="00A85F04">
        <w:rPr>
          <w:rFonts w:eastAsia="MS Mincho"/>
          <w:lang w:eastAsia="ja-JP"/>
        </w:rPr>
        <w:t>CGs, and</w:t>
      </w:r>
      <w:proofErr w:type="gramEnd"/>
      <w:r w:rsidRPr="00A85F04">
        <w:rPr>
          <w:rFonts w:eastAsia="MS Mincho"/>
          <w:lang w:eastAsia="ja-JP"/>
        </w:rPr>
        <w:t xml:space="preserve"> go through a list of priority rules that alternates between the two CGs. This approach will incur a ping-pong impact between the </w:t>
      </w:r>
      <w:proofErr w:type="gramStart"/>
      <w:r w:rsidRPr="00A85F04">
        <w:rPr>
          <w:rFonts w:eastAsia="MS Mincho"/>
          <w:lang w:eastAsia="ja-JP"/>
        </w:rPr>
        <w:t>two cell</w:t>
      </w:r>
      <w:proofErr w:type="gramEnd"/>
      <w:r w:rsidRPr="00A85F04">
        <w:rPr>
          <w:rFonts w:eastAsia="MS Mincho"/>
          <w:lang w:eastAsia="ja-JP"/>
        </w:rPr>
        <w:t xml:space="preserve"> group</w:t>
      </w:r>
      <w:r w:rsidR="001055DC">
        <w:rPr>
          <w:rFonts w:eastAsia="MS Mincho"/>
          <w:lang w:eastAsia="ja-JP"/>
        </w:rPr>
        <w:t xml:space="preserve"> which</w:t>
      </w:r>
      <w:r w:rsidRPr="00A85F04">
        <w:rPr>
          <w:rFonts w:eastAsia="MS Mincho"/>
          <w:lang w:eastAsia="ja-JP"/>
        </w:rPr>
        <w:t xml:space="preserve"> complicate</w:t>
      </w:r>
      <w:r w:rsidR="00854145">
        <w:rPr>
          <w:rFonts w:eastAsia="MS Mincho"/>
          <w:lang w:eastAsia="ja-JP"/>
        </w:rPr>
        <w:t>s</w:t>
      </w:r>
      <w:r w:rsidRPr="00A85F04">
        <w:rPr>
          <w:rFonts w:eastAsia="MS Mincho"/>
          <w:lang w:eastAsia="ja-JP"/>
        </w:rPr>
        <w:t xml:space="preserve"> the UE implementation</w:t>
      </w:r>
      <w:r w:rsidR="001055DC">
        <w:rPr>
          <w:rFonts w:eastAsia="MS Mincho"/>
          <w:lang w:eastAsia="ja-JP"/>
        </w:rPr>
        <w:t xml:space="preserve">, and </w:t>
      </w:r>
      <w:r w:rsidR="00E056FB">
        <w:rPr>
          <w:rFonts w:eastAsia="MS Mincho"/>
          <w:lang w:eastAsia="ja-JP"/>
        </w:rPr>
        <w:t>is not aligned with the agreement in RAN1#98</w:t>
      </w:r>
      <w:r w:rsidRPr="00A85F04">
        <w:rPr>
          <w:rFonts w:eastAsia="MS Mincho"/>
          <w:lang w:eastAsia="ja-JP"/>
        </w:rPr>
        <w:t>. Alt</w:t>
      </w:r>
      <w:r>
        <w:rPr>
          <w:rFonts w:eastAsia="MS Mincho"/>
          <w:lang w:eastAsia="ja-JP"/>
        </w:rPr>
        <w:t>. 1</w:t>
      </w:r>
      <w:r w:rsidR="00160917">
        <w:rPr>
          <w:rFonts w:eastAsia="MS Mincho"/>
          <w:lang w:eastAsia="ja-JP"/>
        </w:rPr>
        <w:t xml:space="preserve"> and Alt. 3</w:t>
      </w:r>
      <w:r w:rsidRPr="00A85F04">
        <w:rPr>
          <w:rFonts w:eastAsia="MS Mincho"/>
          <w:lang w:eastAsia="ja-JP"/>
        </w:rPr>
        <w:t>, however, circumvent</w:t>
      </w:r>
      <w:r w:rsidR="00854145">
        <w:rPr>
          <w:rFonts w:eastAsia="MS Mincho"/>
          <w:lang w:eastAsia="ja-JP"/>
        </w:rPr>
        <w:t>s</w:t>
      </w:r>
      <w:r w:rsidRPr="00A85F04">
        <w:rPr>
          <w:rFonts w:eastAsia="MS Mincho"/>
          <w:lang w:eastAsia="ja-JP"/>
        </w:rPr>
        <w:t xml:space="preserve"> this issue since only a one-time exchange of information is expected between the two cell</w:t>
      </w:r>
      <w:r w:rsidR="00A21D26">
        <w:rPr>
          <w:rFonts w:eastAsia="MS Mincho"/>
          <w:lang w:eastAsia="ja-JP"/>
        </w:rPr>
        <w:t xml:space="preserve"> group</w:t>
      </w:r>
      <w:r w:rsidRPr="00A85F04">
        <w:rPr>
          <w:rFonts w:eastAsia="MS Mincho"/>
          <w:lang w:eastAsia="ja-JP"/>
        </w:rPr>
        <w:t>s</w:t>
      </w:r>
      <w:r>
        <w:rPr>
          <w:rFonts w:eastAsia="MS Mincho"/>
          <w:lang w:eastAsia="ja-JP"/>
        </w:rPr>
        <w:t>.</w:t>
      </w:r>
      <w:r w:rsidR="004835E2">
        <w:rPr>
          <w:rFonts w:eastAsia="MS Mincho"/>
          <w:lang w:eastAsia="ja-JP"/>
        </w:rPr>
        <w:t xml:space="preserve"> Besides, it is possible to apply CA power determination in each CG after the one-time exchange of information. </w:t>
      </w:r>
    </w:p>
    <w:p w14:paraId="3016985F" w14:textId="6F7B7F10" w:rsidR="00A85F04" w:rsidRDefault="00A85F04" w:rsidP="00A85F04">
      <w:pPr>
        <w:jc w:val="both"/>
      </w:pPr>
      <w:r w:rsidRPr="00647C43">
        <w:rPr>
          <w:rFonts w:eastAsia="MS Mincho"/>
          <w:b/>
          <w:u w:val="single"/>
          <w:lang w:eastAsia="ja-JP"/>
        </w:rPr>
        <w:t>On the look-ahead operation</w:t>
      </w:r>
      <w:r>
        <w:rPr>
          <w:rFonts w:eastAsia="MS Mincho"/>
          <w:lang w:eastAsia="ja-JP"/>
        </w:rPr>
        <w:t xml:space="preserve">: Alt. 1 </w:t>
      </w:r>
      <w:r w:rsidRPr="00B541D9">
        <w:t>enable</w:t>
      </w:r>
      <w:r>
        <w:rPr>
          <w:rFonts w:eastAsia="MS Mincho"/>
          <w:lang w:eastAsia="ja-JP"/>
        </w:rPr>
        <w:t>s</w:t>
      </w:r>
      <w:r w:rsidRPr="00B541D9">
        <w:t xml:space="preserve"> a look-ahead operation</w:t>
      </w:r>
      <w:r w:rsidR="00A820D0">
        <w:t xml:space="preserve">; </w:t>
      </w:r>
      <w:proofErr w:type="gramStart"/>
      <w:r w:rsidR="00A820D0">
        <w:t>however,</w:t>
      </w:r>
      <w:r w:rsidRPr="00B541D9">
        <w:t xml:space="preserve"> </w:t>
      </w:r>
      <w:r>
        <w:t xml:space="preserve"> the</w:t>
      </w:r>
      <w:proofErr w:type="gramEnd"/>
      <w:r>
        <w:t xml:space="preserve"> performance gains from </w:t>
      </w:r>
      <w:r w:rsidR="00BA308F">
        <w:t xml:space="preserve">requiring </w:t>
      </w:r>
      <w:r>
        <w:t xml:space="preserve">the look-ahead operation are </w:t>
      </w:r>
      <w:proofErr w:type="spellStart"/>
      <w:r>
        <w:t>unknown</w:t>
      </w:r>
      <w:r w:rsidR="00A820D0">
        <w:t>;further</w:t>
      </w:r>
      <w:proofErr w:type="spellEnd"/>
      <w:r w:rsidR="00A820D0">
        <w:t>,</w:t>
      </w:r>
      <w:r>
        <w:t xml:space="preserve"> this approach complicates the UE implementation unnecessarily. Additionally, in order to keep the phase continuity across the overlapping channels, a certain timeline should be satisfied. However, since the uplink transmissions are scheduled by different </w:t>
      </w:r>
      <w:proofErr w:type="spellStart"/>
      <w:r>
        <w:t>gNBs</w:t>
      </w:r>
      <w:proofErr w:type="spellEnd"/>
      <w:r>
        <w:t>, it is not always possible to ensure the timeline; in other words, the entire operation is opportunistic</w:t>
      </w:r>
      <w:r w:rsidR="000A4FD9">
        <w:t xml:space="preserve"> and </w:t>
      </w:r>
      <w:r w:rsidR="0090490E">
        <w:t xml:space="preserve">is </w:t>
      </w:r>
      <w:r w:rsidR="000A4FD9">
        <w:t>therefore not reliable</w:t>
      </w:r>
      <w:r>
        <w:t>.</w:t>
      </w:r>
      <w:r w:rsidRPr="00A85F04">
        <w:t xml:space="preserve"> </w:t>
      </w:r>
      <w:r w:rsidR="00DE530B">
        <w:t>It is also not clear how this mechanism can</w:t>
      </w:r>
      <w:r w:rsidR="00A21D26">
        <w:t xml:space="preserve"> work</w:t>
      </w:r>
      <w:r w:rsidR="00DE530B">
        <w:t xml:space="preserve"> with CA </w:t>
      </w:r>
      <w:r w:rsidR="00A21D26">
        <w:t xml:space="preserve">power </w:t>
      </w:r>
      <w:r w:rsidR="003B54AD">
        <w:t xml:space="preserve">determination framework per </w:t>
      </w:r>
      <w:r w:rsidR="00DE530B">
        <w:t>CG as agreed in RAN1#98.</w:t>
      </w:r>
    </w:p>
    <w:p w14:paraId="1C5BB92B" w14:textId="713A2FC7" w:rsidR="00A85F04" w:rsidRDefault="00A85F04" w:rsidP="002E7AA9">
      <w:pPr>
        <w:jc w:val="both"/>
      </w:pPr>
      <w:r>
        <w:t>Alt. 2 i</w:t>
      </w:r>
      <w:r w:rsidRPr="00F720DC">
        <w:t>s proposed under the assumption that the main use case of NR-NR DC is to use the MCG for control and mobility, while the SCG is used for data transmission. In such a case, it should be possible to “slow down” the UE processing on the MCG such that its uplink power decisions are available at the SCG</w:t>
      </w:r>
      <w:r>
        <w:t xml:space="preserve"> when the UE </w:t>
      </w:r>
      <w:proofErr w:type="gramStart"/>
      <w:r>
        <w:t>has to</w:t>
      </w:r>
      <w:proofErr w:type="gramEnd"/>
      <w:r>
        <w:t xml:space="preserve"> allocate the power to SCG’s uplink transmissions, similar to Rel. 15 EN-DC power control design.</w:t>
      </w:r>
      <w:r w:rsidRPr="00A85F04">
        <w:t xml:space="preserve"> </w:t>
      </w:r>
      <w:r>
        <w:t>This approach also requires enabling information exchange between the two cell groups; however, the information can be exchanged at a lower rate as compared to the previous schemes depending on the processing timeline of the MCG.</w:t>
      </w:r>
      <w:r w:rsidR="007A6727">
        <w:t xml:space="preserve"> </w:t>
      </w:r>
    </w:p>
    <w:p w14:paraId="50008A63" w14:textId="6047E352" w:rsidR="00E14F77" w:rsidRDefault="00E14F77" w:rsidP="002E7AA9">
      <w:pPr>
        <w:jc w:val="both"/>
        <w:rPr>
          <w:rFonts w:eastAsia="MS Mincho"/>
          <w:lang w:eastAsia="ja-JP"/>
        </w:rPr>
      </w:pPr>
      <w:r>
        <w:rPr>
          <w:rFonts w:eastAsia="MS Mincho" w:hint="eastAsia"/>
          <w:lang w:eastAsia="ja-JP"/>
        </w:rPr>
        <w:t>A</w:t>
      </w:r>
      <w:r>
        <w:rPr>
          <w:rFonts w:eastAsia="MS Mincho"/>
          <w:lang w:eastAsia="ja-JP"/>
        </w:rPr>
        <w:t xml:space="preserve">lt.3 </w:t>
      </w:r>
      <w:r w:rsidR="005D3C97">
        <w:rPr>
          <w:rFonts w:eastAsia="MS Mincho"/>
          <w:lang w:eastAsia="ja-JP"/>
        </w:rPr>
        <w:t>works well</w:t>
      </w:r>
      <w:r w:rsidR="00E96D66">
        <w:rPr>
          <w:rFonts w:eastAsia="MS Mincho"/>
          <w:lang w:eastAsia="ja-JP"/>
        </w:rPr>
        <w:t xml:space="preserve"> together</w:t>
      </w:r>
      <w:r w:rsidR="005D3C97">
        <w:rPr>
          <w:rFonts w:eastAsia="MS Mincho"/>
          <w:lang w:eastAsia="ja-JP"/>
        </w:rPr>
        <w:t xml:space="preserve"> with the prioritization </w:t>
      </w:r>
      <w:r w:rsidR="00E96D66">
        <w:rPr>
          <w:rFonts w:eastAsia="MS Mincho"/>
          <w:lang w:eastAsia="ja-JP"/>
        </w:rPr>
        <w:t xml:space="preserve">rule of </w:t>
      </w:r>
      <w:r w:rsidR="005D3C97">
        <w:rPr>
          <w:rFonts w:eastAsia="MS Mincho"/>
          <w:lang w:eastAsia="ja-JP"/>
        </w:rPr>
        <w:t>MCG &gt; SCG</w:t>
      </w:r>
      <w:r w:rsidR="0013125A">
        <w:rPr>
          <w:rFonts w:eastAsia="MS Mincho"/>
          <w:lang w:eastAsia="ja-JP"/>
        </w:rPr>
        <w:t xml:space="preserve">; </w:t>
      </w:r>
      <w:r w:rsidR="006C1F1E">
        <w:rPr>
          <w:rFonts w:eastAsia="MS Mincho"/>
          <w:lang w:eastAsia="ja-JP"/>
        </w:rPr>
        <w:t xml:space="preserve">MCG first determines its </w:t>
      </w:r>
      <w:r w:rsidR="004410D7">
        <w:rPr>
          <w:rFonts w:eastAsia="MS Mincho"/>
          <w:lang w:eastAsia="ja-JP"/>
        </w:rPr>
        <w:t>total</w:t>
      </w:r>
      <w:r w:rsidR="006C1F1E">
        <w:rPr>
          <w:rFonts w:eastAsia="MS Mincho"/>
          <w:lang w:eastAsia="ja-JP"/>
        </w:rPr>
        <w:t xml:space="preserve"> transmission power </w:t>
      </w:r>
      <w:r w:rsidR="004410D7">
        <w:rPr>
          <w:rFonts w:eastAsia="MS Mincho"/>
          <w:lang w:eastAsia="ja-JP"/>
        </w:rPr>
        <w:t xml:space="preserve">per occasion </w:t>
      </w:r>
      <w:r w:rsidR="006C1F1E">
        <w:rPr>
          <w:rFonts w:eastAsia="MS Mincho"/>
          <w:lang w:eastAsia="ja-JP"/>
        </w:rPr>
        <w:t xml:space="preserve">and </w:t>
      </w:r>
      <w:r w:rsidR="004410D7">
        <w:rPr>
          <w:rFonts w:eastAsia="MS Mincho"/>
          <w:lang w:eastAsia="ja-JP"/>
        </w:rPr>
        <w:t>passes it to SCG</w:t>
      </w:r>
      <w:r w:rsidR="000025F6">
        <w:rPr>
          <w:rFonts w:eastAsia="MS Mincho"/>
          <w:lang w:eastAsia="ja-JP"/>
        </w:rPr>
        <w:t xml:space="preserve">. The total transmission power for MCG may or may not be scaled, depending on the relation with the available transmission power for MCG. </w:t>
      </w:r>
      <w:r w:rsidR="008C6F5A">
        <w:rPr>
          <w:rFonts w:eastAsia="MS Mincho"/>
          <w:lang w:eastAsia="ja-JP"/>
        </w:rPr>
        <w:t xml:space="preserve">The SCG identifies total available transmission power for SCG based on the information from the MCG. Then, CA based </w:t>
      </w:r>
      <w:r w:rsidR="00023F67">
        <w:rPr>
          <w:rFonts w:eastAsia="MS Mincho"/>
          <w:lang w:eastAsia="ja-JP"/>
        </w:rPr>
        <w:t>power determination is carried ou</w:t>
      </w:r>
      <w:r w:rsidR="00A820D0">
        <w:rPr>
          <w:rFonts w:eastAsia="MS Mincho"/>
          <w:lang w:eastAsia="ja-JP"/>
        </w:rPr>
        <w:t>t</w:t>
      </w:r>
      <w:r w:rsidR="00023F67">
        <w:rPr>
          <w:rFonts w:eastAsia="MS Mincho"/>
          <w:lang w:eastAsia="ja-JP"/>
        </w:rPr>
        <w:t xml:space="preserve"> per CG. </w:t>
      </w:r>
      <w:r w:rsidR="0078747F">
        <w:rPr>
          <w:rFonts w:eastAsia="MS Mincho"/>
          <w:lang w:eastAsia="ja-JP"/>
        </w:rPr>
        <w:t xml:space="preserve">In order to protect important UL </w:t>
      </w:r>
      <w:r w:rsidR="0078747F">
        <w:rPr>
          <w:rFonts w:eastAsia="MS Mincho"/>
          <w:lang w:eastAsia="ja-JP"/>
        </w:rPr>
        <w:lastRenderedPageBreak/>
        <w:t>transmission in the SCG, it should be possible to configure minimum reserved power for SCG.</w:t>
      </w:r>
      <w:r w:rsidR="00061DD7">
        <w:rPr>
          <w:rFonts w:eastAsia="MS Mincho"/>
          <w:lang w:eastAsia="ja-JP"/>
        </w:rPr>
        <w:t xml:space="preserve"> This configuration is semi-static and known by the MCG preliminary; hence, MCG does not need to </w:t>
      </w:r>
      <w:proofErr w:type="gramStart"/>
      <w:r w:rsidR="00061DD7">
        <w:rPr>
          <w:rFonts w:eastAsia="MS Mincho"/>
          <w:lang w:eastAsia="ja-JP"/>
        </w:rPr>
        <w:t>take into account</w:t>
      </w:r>
      <w:proofErr w:type="gramEnd"/>
      <w:r w:rsidR="00061DD7">
        <w:rPr>
          <w:rFonts w:eastAsia="MS Mincho"/>
          <w:lang w:eastAsia="ja-JP"/>
        </w:rPr>
        <w:t xml:space="preserve"> </w:t>
      </w:r>
      <w:r w:rsidR="00A21D26">
        <w:rPr>
          <w:rFonts w:eastAsia="MS Mincho"/>
          <w:lang w:eastAsia="ja-JP"/>
        </w:rPr>
        <w:t>dynamic</w:t>
      </w:r>
      <w:r w:rsidR="00061DD7">
        <w:rPr>
          <w:rFonts w:eastAsia="MS Mincho"/>
          <w:lang w:eastAsia="ja-JP"/>
        </w:rPr>
        <w:t xml:space="preserve"> power on SCG.</w:t>
      </w:r>
      <w:r w:rsidR="00882719">
        <w:rPr>
          <w:rFonts w:eastAsia="MS Mincho"/>
          <w:lang w:eastAsia="ja-JP"/>
        </w:rPr>
        <w:t xml:space="preserve"> </w:t>
      </w:r>
      <w:r w:rsidR="00A02587">
        <w:rPr>
          <w:rFonts w:eastAsia="MS Mincho"/>
          <w:lang w:eastAsia="ja-JP"/>
        </w:rPr>
        <w:t>E</w:t>
      </w:r>
      <w:r w:rsidR="00882719">
        <w:rPr>
          <w:rFonts w:eastAsia="MS Mincho"/>
          <w:lang w:eastAsia="ja-JP"/>
        </w:rPr>
        <w:t xml:space="preserve">ven if a SCG transmission starts at the middle of </w:t>
      </w:r>
      <w:proofErr w:type="gramStart"/>
      <w:r w:rsidR="00882719">
        <w:rPr>
          <w:rFonts w:eastAsia="MS Mincho"/>
          <w:lang w:eastAsia="ja-JP"/>
        </w:rPr>
        <w:t>a</w:t>
      </w:r>
      <w:proofErr w:type="gramEnd"/>
      <w:r w:rsidR="00882719">
        <w:rPr>
          <w:rFonts w:eastAsia="MS Mincho"/>
          <w:lang w:eastAsia="ja-JP"/>
        </w:rPr>
        <w:t xml:space="preserve"> MCG transmission</w:t>
      </w:r>
      <w:r w:rsidR="00A02587">
        <w:rPr>
          <w:rFonts w:eastAsia="MS Mincho"/>
          <w:lang w:eastAsia="ja-JP"/>
        </w:rPr>
        <w:t>, the MCG transmission power is not changed</w:t>
      </w:r>
      <w:r w:rsidR="00882719">
        <w:rPr>
          <w:rFonts w:eastAsia="MS Mincho"/>
          <w:lang w:eastAsia="ja-JP"/>
        </w:rPr>
        <w:t xml:space="preserve">. </w:t>
      </w:r>
      <w:r w:rsidR="00A02587">
        <w:rPr>
          <w:rFonts w:eastAsia="MS Mincho"/>
          <w:lang w:eastAsia="ja-JP"/>
        </w:rPr>
        <w:t>If</w:t>
      </w:r>
      <w:r w:rsidR="00745882">
        <w:rPr>
          <w:rFonts w:eastAsia="MS Mincho"/>
          <w:lang w:eastAsia="ja-JP"/>
        </w:rPr>
        <w:t xml:space="preserve"> </w:t>
      </w:r>
      <w:proofErr w:type="gramStart"/>
      <w:r w:rsidR="00745882">
        <w:rPr>
          <w:rFonts w:eastAsia="MS Mincho"/>
          <w:lang w:eastAsia="ja-JP"/>
        </w:rPr>
        <w:t>a</w:t>
      </w:r>
      <w:proofErr w:type="gramEnd"/>
      <w:r w:rsidR="00745882">
        <w:rPr>
          <w:rFonts w:eastAsia="MS Mincho"/>
          <w:lang w:eastAsia="ja-JP"/>
        </w:rPr>
        <w:t xml:space="preserve"> MCG transmission starts at the middle of a SCG transmission, </w:t>
      </w:r>
      <w:r w:rsidR="002A2E1E">
        <w:rPr>
          <w:rFonts w:eastAsia="MS Mincho"/>
          <w:lang w:eastAsia="ja-JP"/>
        </w:rPr>
        <w:t>it is possible that the SCG power changes at the middle of the transmission (i.e., phase continuity for SCG is not maintained)</w:t>
      </w:r>
      <w:r w:rsidR="00A02587">
        <w:rPr>
          <w:rFonts w:eastAsia="MS Mincho"/>
          <w:lang w:eastAsia="ja-JP"/>
        </w:rPr>
        <w:t xml:space="preserve"> in case of power-limitation</w:t>
      </w:r>
      <w:r w:rsidR="002A2E1E">
        <w:rPr>
          <w:rFonts w:eastAsia="MS Mincho"/>
          <w:lang w:eastAsia="ja-JP"/>
        </w:rPr>
        <w:t xml:space="preserve">. </w:t>
      </w:r>
      <w:r w:rsidR="00774F6E">
        <w:rPr>
          <w:rFonts w:eastAsia="MS Mincho"/>
          <w:lang w:eastAsia="ja-JP"/>
        </w:rPr>
        <w:t xml:space="preserve">For addressing the phase continuity for SCG, </w:t>
      </w:r>
      <w:proofErr w:type="spellStart"/>
      <w:r w:rsidR="00AC372B">
        <w:rPr>
          <w:rFonts w:eastAsia="MS Mincho"/>
          <w:lang w:eastAsia="ja-JP"/>
        </w:rPr>
        <w:t>gNB</w:t>
      </w:r>
      <w:proofErr w:type="spellEnd"/>
      <w:r w:rsidR="00AC372B">
        <w:rPr>
          <w:rFonts w:eastAsia="MS Mincho"/>
          <w:lang w:eastAsia="ja-JP"/>
        </w:rPr>
        <w:t xml:space="preserve"> can configure minimum reserved power for SCG</w:t>
      </w:r>
      <w:r w:rsidR="00774F6E">
        <w:rPr>
          <w:rFonts w:eastAsia="MS Mincho"/>
          <w:lang w:eastAsia="ja-JP"/>
        </w:rPr>
        <w:t xml:space="preserve"> </w:t>
      </w:r>
      <w:r w:rsidR="00AC372B">
        <w:rPr>
          <w:rFonts w:eastAsia="MS Mincho"/>
          <w:lang w:eastAsia="ja-JP"/>
        </w:rPr>
        <w:t xml:space="preserve">if </w:t>
      </w:r>
      <w:r w:rsidR="00774F6E">
        <w:rPr>
          <w:rFonts w:eastAsia="MS Mincho"/>
          <w:lang w:eastAsia="ja-JP"/>
        </w:rPr>
        <w:t>necessary</w:t>
      </w:r>
      <w:r w:rsidR="00AC372B">
        <w:rPr>
          <w:rFonts w:eastAsia="MS Mincho"/>
          <w:lang w:eastAsia="ja-JP"/>
        </w:rPr>
        <w:t>.</w:t>
      </w:r>
    </w:p>
    <w:p w14:paraId="202BDF45" w14:textId="306BD0BF" w:rsidR="00C5110C" w:rsidRDefault="00C5110C" w:rsidP="00C5110C">
      <w:pPr>
        <w:jc w:val="both"/>
        <w:rPr>
          <w:b/>
        </w:rPr>
      </w:pPr>
      <w:r w:rsidRPr="007E0316">
        <w:rPr>
          <w:b/>
        </w:rPr>
        <w:t xml:space="preserve">Proposal </w:t>
      </w:r>
      <w:r w:rsidR="00CD16D0">
        <w:rPr>
          <w:b/>
        </w:rPr>
        <w:t>2</w:t>
      </w:r>
      <w:r w:rsidRPr="007E0316">
        <w:rPr>
          <w:b/>
        </w:rPr>
        <w:t xml:space="preserve">: </w:t>
      </w:r>
      <w:r w:rsidR="00725D58">
        <w:rPr>
          <w:b/>
        </w:rPr>
        <w:t xml:space="preserve">If a dynamic power sharing needs to be supported, </w:t>
      </w:r>
      <w:r w:rsidR="0035485B">
        <w:rPr>
          <w:b/>
        </w:rPr>
        <w:t xml:space="preserve">it should be </w:t>
      </w:r>
      <w:r w:rsidR="00E21C9C">
        <w:rPr>
          <w:b/>
        </w:rPr>
        <w:t>based on the following principles:</w:t>
      </w:r>
    </w:p>
    <w:p w14:paraId="48C97F82" w14:textId="3EFEC6B5" w:rsidR="003A1F11" w:rsidRDefault="0050268E" w:rsidP="00EA3E3C">
      <w:pPr>
        <w:pStyle w:val="ListParagraph"/>
        <w:numPr>
          <w:ilvl w:val="0"/>
          <w:numId w:val="9"/>
        </w:numPr>
        <w:jc w:val="both"/>
        <w:rPr>
          <w:rFonts w:ascii="Times New Roman" w:hAnsi="Times New Roman"/>
          <w:b/>
          <w:sz w:val="20"/>
        </w:rPr>
      </w:pPr>
      <w:r>
        <w:rPr>
          <w:rFonts w:ascii="Times New Roman" w:hAnsi="Times New Roman"/>
          <w:b/>
          <w:sz w:val="20"/>
        </w:rPr>
        <w:t>The support of dynamic power sharing is</w:t>
      </w:r>
      <w:r w:rsidR="003A1F11">
        <w:rPr>
          <w:rFonts w:ascii="Times New Roman" w:hAnsi="Times New Roman"/>
          <w:b/>
          <w:sz w:val="20"/>
        </w:rPr>
        <w:t xml:space="preserve"> optional with a </w:t>
      </w:r>
      <w:r>
        <w:rPr>
          <w:rFonts w:ascii="Times New Roman" w:hAnsi="Times New Roman"/>
          <w:b/>
          <w:sz w:val="20"/>
        </w:rPr>
        <w:t xml:space="preserve">UE </w:t>
      </w:r>
      <w:r w:rsidR="003A1F11">
        <w:rPr>
          <w:rFonts w:ascii="Times New Roman" w:hAnsi="Times New Roman"/>
          <w:b/>
          <w:sz w:val="20"/>
        </w:rPr>
        <w:t>capability signaling.</w:t>
      </w:r>
    </w:p>
    <w:p w14:paraId="01BA2450" w14:textId="7166CC0C" w:rsidR="0050268E" w:rsidRPr="00383D54" w:rsidRDefault="0050268E" w:rsidP="00EA3E3C">
      <w:pPr>
        <w:pStyle w:val="ListParagraph"/>
        <w:numPr>
          <w:ilvl w:val="0"/>
          <w:numId w:val="9"/>
        </w:numPr>
        <w:jc w:val="both"/>
        <w:rPr>
          <w:rFonts w:ascii="Times New Roman" w:hAnsi="Times New Roman"/>
          <w:b/>
          <w:sz w:val="20"/>
        </w:rPr>
      </w:pPr>
      <w:r>
        <w:rPr>
          <w:rFonts w:ascii="Times New Roman" w:eastAsia="MS Mincho" w:hAnsi="Times New Roman"/>
          <w:b/>
          <w:sz w:val="20"/>
          <w:lang w:eastAsia="ja-JP"/>
        </w:rPr>
        <w:t>UE is not required to perform look-ahead.</w:t>
      </w:r>
    </w:p>
    <w:p w14:paraId="0FAEE51E" w14:textId="532FA8C3" w:rsidR="005254F5" w:rsidRPr="00383D54" w:rsidRDefault="005254F5" w:rsidP="00EA3E3C">
      <w:pPr>
        <w:pStyle w:val="ListParagraph"/>
        <w:numPr>
          <w:ilvl w:val="0"/>
          <w:numId w:val="9"/>
        </w:numPr>
        <w:jc w:val="both"/>
        <w:rPr>
          <w:rFonts w:ascii="Times New Roman" w:hAnsi="Times New Roman"/>
          <w:b/>
          <w:sz w:val="20"/>
        </w:rPr>
      </w:pPr>
      <w:r>
        <w:rPr>
          <w:rFonts w:ascii="Times New Roman" w:eastAsia="MS Mincho" w:hAnsi="Times New Roman" w:hint="eastAsia"/>
          <w:b/>
          <w:sz w:val="20"/>
          <w:lang w:eastAsia="ja-JP"/>
        </w:rPr>
        <w:t>S</w:t>
      </w:r>
      <w:r>
        <w:rPr>
          <w:rFonts w:ascii="Times New Roman" w:eastAsia="MS Mincho" w:hAnsi="Times New Roman"/>
          <w:b/>
          <w:sz w:val="20"/>
          <w:lang w:eastAsia="ja-JP"/>
        </w:rPr>
        <w:t>upport a minimum reserved power for SCG.</w:t>
      </w:r>
    </w:p>
    <w:p w14:paraId="19410A40" w14:textId="0498F983" w:rsidR="009402AF" w:rsidRDefault="009402AF" w:rsidP="00EA3E3C">
      <w:pPr>
        <w:pStyle w:val="ListParagraph"/>
        <w:numPr>
          <w:ilvl w:val="0"/>
          <w:numId w:val="9"/>
        </w:numPr>
        <w:jc w:val="both"/>
        <w:rPr>
          <w:rFonts w:ascii="Times New Roman" w:hAnsi="Times New Roman"/>
          <w:b/>
          <w:sz w:val="20"/>
        </w:rPr>
      </w:pPr>
      <w:r>
        <w:rPr>
          <w:rFonts w:ascii="Times New Roman" w:hAnsi="Times New Roman"/>
          <w:b/>
          <w:sz w:val="20"/>
        </w:rPr>
        <w:t>Procedure</w:t>
      </w:r>
      <w:r w:rsidR="003D32DE">
        <w:rPr>
          <w:rFonts w:ascii="Times New Roman" w:hAnsi="Times New Roman"/>
          <w:b/>
          <w:sz w:val="20"/>
        </w:rPr>
        <w:t xml:space="preserve"> for dynamic power sharing</w:t>
      </w:r>
      <w:r>
        <w:rPr>
          <w:rFonts w:ascii="Times New Roman" w:hAnsi="Times New Roman"/>
          <w:b/>
          <w:sz w:val="20"/>
        </w:rPr>
        <w:t>:</w:t>
      </w:r>
    </w:p>
    <w:p w14:paraId="461A0510" w14:textId="39834180" w:rsidR="00EA3E3C" w:rsidRPr="00EA3E3C" w:rsidRDefault="00EA3E3C" w:rsidP="00383D54">
      <w:pPr>
        <w:pStyle w:val="ListParagraph"/>
        <w:numPr>
          <w:ilvl w:val="1"/>
          <w:numId w:val="9"/>
        </w:numPr>
        <w:jc w:val="both"/>
        <w:rPr>
          <w:rFonts w:ascii="Times New Roman" w:hAnsi="Times New Roman"/>
          <w:b/>
          <w:sz w:val="20"/>
        </w:rPr>
      </w:pPr>
      <w:r w:rsidRPr="00EA3E3C">
        <w:rPr>
          <w:rFonts w:ascii="Times New Roman" w:hAnsi="Times New Roman"/>
          <w:b/>
          <w:sz w:val="20"/>
        </w:rPr>
        <w:t>Per occasion, the sum power of MCG across all its CCs is calculated.</w:t>
      </w:r>
      <w:r>
        <w:rPr>
          <w:rFonts w:ascii="Times New Roman" w:hAnsi="Times New Roman"/>
          <w:b/>
          <w:sz w:val="20"/>
        </w:rPr>
        <w:t xml:space="preserve"> I</w:t>
      </w:r>
      <w:r w:rsidRPr="00EA3E3C">
        <w:rPr>
          <w:rFonts w:ascii="Times New Roman" w:hAnsi="Times New Roman"/>
          <w:b/>
          <w:sz w:val="20"/>
        </w:rPr>
        <w:t xml:space="preserve">f needed, </w:t>
      </w:r>
      <w:r w:rsidR="00197935">
        <w:rPr>
          <w:rFonts w:ascii="Times New Roman" w:hAnsi="Times New Roman"/>
          <w:b/>
          <w:sz w:val="20"/>
        </w:rPr>
        <w:t>the sum power of MCG is scaled-down</w:t>
      </w:r>
      <w:r w:rsidR="005254F5">
        <w:rPr>
          <w:rFonts w:ascii="Times New Roman" w:hAnsi="Times New Roman"/>
          <w:b/>
          <w:sz w:val="20"/>
        </w:rPr>
        <w:t xml:space="preserve"> </w:t>
      </w:r>
      <w:proofErr w:type="gramStart"/>
      <w:r w:rsidR="005254F5">
        <w:rPr>
          <w:rFonts w:ascii="Times New Roman" w:hAnsi="Times New Roman"/>
          <w:b/>
          <w:sz w:val="20"/>
        </w:rPr>
        <w:t>taking into account</w:t>
      </w:r>
      <w:proofErr w:type="gramEnd"/>
      <w:r w:rsidR="005254F5">
        <w:rPr>
          <w:rFonts w:ascii="Times New Roman" w:hAnsi="Times New Roman"/>
          <w:b/>
          <w:sz w:val="20"/>
        </w:rPr>
        <w:t xml:space="preserve"> minimum reserved power for SCG (if configured)</w:t>
      </w:r>
      <w:r w:rsidRPr="00EA3E3C">
        <w:rPr>
          <w:rFonts w:ascii="Times New Roman" w:hAnsi="Times New Roman"/>
          <w:b/>
          <w:sz w:val="20"/>
        </w:rPr>
        <w:t>.</w:t>
      </w:r>
    </w:p>
    <w:p w14:paraId="1F039A7E" w14:textId="3316C417" w:rsidR="0035485B" w:rsidRDefault="00155D71" w:rsidP="00383D54">
      <w:pPr>
        <w:pStyle w:val="ListParagraph"/>
        <w:numPr>
          <w:ilvl w:val="1"/>
          <w:numId w:val="9"/>
        </w:numPr>
        <w:jc w:val="both"/>
        <w:rPr>
          <w:rFonts w:ascii="Times New Roman" w:hAnsi="Times New Roman"/>
          <w:b/>
          <w:sz w:val="20"/>
        </w:rPr>
      </w:pPr>
      <w:r w:rsidRPr="00155D71">
        <w:rPr>
          <w:rFonts w:ascii="Times New Roman" w:hAnsi="Times New Roman"/>
          <w:b/>
          <w:sz w:val="20"/>
        </w:rPr>
        <w:t>The s</w:t>
      </w:r>
      <w:r w:rsidR="00EA3E3C" w:rsidRPr="00197935">
        <w:rPr>
          <w:rFonts w:ascii="Times New Roman" w:hAnsi="Times New Roman"/>
          <w:b/>
          <w:sz w:val="20"/>
        </w:rPr>
        <w:t>um power of MCG is passed to SCG.</w:t>
      </w:r>
      <w:r w:rsidRPr="00197935">
        <w:rPr>
          <w:rFonts w:ascii="Times New Roman" w:hAnsi="Times New Roman"/>
          <w:b/>
          <w:sz w:val="20"/>
        </w:rPr>
        <w:t xml:space="preserve"> </w:t>
      </w:r>
      <w:r w:rsidR="00653709">
        <w:rPr>
          <w:rFonts w:ascii="Times New Roman" w:hAnsi="Times New Roman"/>
          <w:b/>
          <w:sz w:val="20"/>
        </w:rPr>
        <w:t xml:space="preserve">Based on this, </w:t>
      </w:r>
      <w:r w:rsidR="00E21C9C">
        <w:rPr>
          <w:rFonts w:ascii="Times New Roman" w:hAnsi="Times New Roman"/>
          <w:b/>
          <w:sz w:val="20"/>
        </w:rPr>
        <w:t xml:space="preserve">the </w:t>
      </w:r>
      <w:r w:rsidR="00653709">
        <w:rPr>
          <w:rFonts w:ascii="Times New Roman" w:hAnsi="Times New Roman"/>
          <w:b/>
          <w:sz w:val="20"/>
        </w:rPr>
        <w:t xml:space="preserve">total available power for </w:t>
      </w:r>
      <w:r w:rsidR="00774F6E">
        <w:rPr>
          <w:rFonts w:ascii="Times New Roman" w:hAnsi="Times New Roman"/>
          <w:b/>
          <w:sz w:val="20"/>
        </w:rPr>
        <w:t xml:space="preserve">SCG </w:t>
      </w:r>
      <w:r w:rsidR="00653709">
        <w:rPr>
          <w:rFonts w:ascii="Times New Roman" w:hAnsi="Times New Roman"/>
          <w:b/>
          <w:sz w:val="20"/>
        </w:rPr>
        <w:t>is identified</w:t>
      </w:r>
      <w:r w:rsidR="0035485B" w:rsidRPr="00197935">
        <w:rPr>
          <w:rFonts w:ascii="Times New Roman" w:hAnsi="Times New Roman"/>
          <w:b/>
          <w:sz w:val="20"/>
        </w:rPr>
        <w:t>.</w:t>
      </w:r>
    </w:p>
    <w:p w14:paraId="4ACD2F90" w14:textId="753BDEA1" w:rsidR="00653709" w:rsidRPr="00383D54" w:rsidRDefault="009402AF" w:rsidP="009402AF">
      <w:pPr>
        <w:pStyle w:val="ListParagraph"/>
        <w:numPr>
          <w:ilvl w:val="1"/>
          <w:numId w:val="9"/>
        </w:numPr>
        <w:jc w:val="both"/>
        <w:rPr>
          <w:rFonts w:ascii="Times New Roman" w:hAnsi="Times New Roman"/>
          <w:b/>
          <w:sz w:val="20"/>
        </w:rPr>
      </w:pPr>
      <w:r>
        <w:rPr>
          <w:rFonts w:ascii="Times New Roman" w:eastAsia="MS Mincho" w:hAnsi="Times New Roman" w:hint="eastAsia"/>
          <w:b/>
          <w:sz w:val="20"/>
          <w:lang w:eastAsia="ja-JP"/>
        </w:rPr>
        <w:t>P</w:t>
      </w:r>
      <w:r>
        <w:rPr>
          <w:rFonts w:ascii="Times New Roman" w:eastAsia="MS Mincho" w:hAnsi="Times New Roman"/>
          <w:b/>
          <w:sz w:val="20"/>
          <w:lang w:eastAsia="ja-JP"/>
        </w:rPr>
        <w:t>er CG, CA power determination is performed</w:t>
      </w:r>
      <w:r w:rsidR="00E21C9C">
        <w:rPr>
          <w:rFonts w:ascii="Times New Roman" w:eastAsia="MS Mincho" w:hAnsi="Times New Roman"/>
          <w:b/>
          <w:sz w:val="20"/>
          <w:lang w:eastAsia="ja-JP"/>
        </w:rPr>
        <w:t xml:space="preserve"> </w:t>
      </w:r>
      <w:proofErr w:type="gramStart"/>
      <w:r w:rsidR="00E21C9C">
        <w:rPr>
          <w:rFonts w:ascii="Times New Roman" w:eastAsia="MS Mincho" w:hAnsi="Times New Roman"/>
          <w:b/>
          <w:sz w:val="20"/>
          <w:lang w:eastAsia="ja-JP"/>
        </w:rPr>
        <w:t>similar to</w:t>
      </w:r>
      <w:proofErr w:type="gramEnd"/>
      <w:r w:rsidR="00E21C9C">
        <w:rPr>
          <w:rFonts w:ascii="Times New Roman" w:eastAsia="MS Mincho" w:hAnsi="Times New Roman"/>
          <w:b/>
          <w:sz w:val="20"/>
          <w:lang w:eastAsia="ja-JP"/>
        </w:rPr>
        <w:t xml:space="preserve"> Rel. 15 NR</w:t>
      </w:r>
      <w:r>
        <w:rPr>
          <w:rFonts w:ascii="Times New Roman" w:eastAsia="MS Mincho" w:hAnsi="Times New Roman"/>
          <w:b/>
          <w:sz w:val="20"/>
          <w:lang w:eastAsia="ja-JP"/>
        </w:rPr>
        <w:t>.</w:t>
      </w:r>
    </w:p>
    <w:p w14:paraId="188FE3AE" w14:textId="77777777" w:rsidR="00C5110C" w:rsidRPr="00C5110C" w:rsidRDefault="00C5110C" w:rsidP="002E7AA9">
      <w:pPr>
        <w:jc w:val="both"/>
        <w:rPr>
          <w:rFonts w:eastAsia="MS Mincho"/>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172CA07"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Based on the discussions in the paper, the following </w:t>
      </w:r>
      <w:r w:rsidR="00EA7959">
        <w:rPr>
          <w:b w:val="0"/>
          <w:szCs w:val="22"/>
        </w:rPr>
        <w:t>proposals are made</w:t>
      </w:r>
      <w:r>
        <w:rPr>
          <w:b w:val="0"/>
          <w:szCs w:val="22"/>
        </w:rPr>
        <w:t>:</w:t>
      </w:r>
    </w:p>
    <w:p w14:paraId="73FDC572" w14:textId="22A59302" w:rsidR="00530396" w:rsidRDefault="00530396" w:rsidP="00530396">
      <w:pPr>
        <w:jc w:val="both"/>
        <w:rPr>
          <w:b/>
          <w:szCs w:val="22"/>
        </w:rPr>
      </w:pPr>
      <w:r>
        <w:rPr>
          <w:b/>
          <w:szCs w:val="22"/>
        </w:rPr>
        <w:t>Observation</w:t>
      </w:r>
      <w:r w:rsidRPr="00D86F52">
        <w:rPr>
          <w:b/>
          <w:szCs w:val="22"/>
        </w:rPr>
        <w:t xml:space="preserve"> 1: </w:t>
      </w:r>
      <w:r>
        <w:rPr>
          <w:b/>
          <w:szCs w:val="22"/>
        </w:rPr>
        <w:t>Due to the extra complication for UE implementation as well as lack of performance benefit justification, d</w:t>
      </w:r>
      <w:r w:rsidRPr="00D86F52">
        <w:rPr>
          <w:b/>
          <w:szCs w:val="22"/>
        </w:rPr>
        <w:t xml:space="preserve">ynamic power sharing </w:t>
      </w:r>
      <w:r>
        <w:rPr>
          <w:b/>
          <w:szCs w:val="22"/>
        </w:rPr>
        <w:t>is</w:t>
      </w:r>
      <w:r w:rsidRPr="00D86F52">
        <w:rPr>
          <w:b/>
          <w:szCs w:val="22"/>
        </w:rPr>
        <w:t xml:space="preserve"> not </w:t>
      </w:r>
      <w:r>
        <w:rPr>
          <w:b/>
          <w:szCs w:val="22"/>
        </w:rPr>
        <w:t>desirable</w:t>
      </w:r>
      <w:r w:rsidRPr="00D86F52">
        <w:rPr>
          <w:b/>
          <w:szCs w:val="22"/>
        </w:rPr>
        <w:t xml:space="preserve"> for Rel. 16 NN-DC.</w:t>
      </w:r>
    </w:p>
    <w:p w14:paraId="63D999A5" w14:textId="77777777" w:rsidR="00530396" w:rsidRPr="00B57D28" w:rsidRDefault="00530396" w:rsidP="00530396">
      <w:pPr>
        <w:jc w:val="both"/>
        <w:rPr>
          <w:b/>
          <w:szCs w:val="22"/>
        </w:rPr>
      </w:pPr>
    </w:p>
    <w:p w14:paraId="0A6F9BBE" w14:textId="7C467CB2" w:rsidR="00530396" w:rsidRDefault="00530396" w:rsidP="00530396">
      <w:pPr>
        <w:jc w:val="both"/>
        <w:rPr>
          <w:b/>
        </w:rPr>
      </w:pPr>
      <w:r w:rsidRPr="007E0316">
        <w:rPr>
          <w:b/>
        </w:rPr>
        <w:t xml:space="preserve">Proposal </w:t>
      </w:r>
      <w:r>
        <w:rPr>
          <w:b/>
        </w:rPr>
        <w:t>1</w:t>
      </w:r>
      <w:r w:rsidRPr="007E0316">
        <w:rPr>
          <w:b/>
        </w:rPr>
        <w:t xml:space="preserve">: </w:t>
      </w:r>
      <w:r>
        <w:rPr>
          <w:b/>
        </w:rPr>
        <w:t>For uplink power control of NN-DC, the UE is configured with:</w:t>
      </w:r>
    </w:p>
    <w:p w14:paraId="76B67115" w14:textId="77777777" w:rsidR="00530396" w:rsidRPr="00D86F52" w:rsidRDefault="00530396" w:rsidP="00530396">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088D85A6" w14:textId="2DC860A0" w:rsidR="00530396" w:rsidRPr="00E734DE" w:rsidRDefault="00530396" w:rsidP="00E734DE">
      <w:pPr>
        <w:pStyle w:val="ListParagraph"/>
        <w:jc w:val="both"/>
        <w:rPr>
          <w:rFonts w:ascii="Times New Roman" w:hAnsi="Times New Roman"/>
          <w:b/>
          <w:sz w:val="20"/>
        </w:rPr>
      </w:pPr>
      <w:r w:rsidRPr="00D86F52">
        <w:rPr>
          <w:rFonts w:ascii="Times New Roman" w:hAnsi="Times New Roman"/>
          <w:b/>
          <w:sz w:val="20"/>
        </w:rPr>
        <w:t xml:space="preserve">Additionally, the UE can be configured with P_NR1’ and P_NR2’, which can each be equal to P_NN. In other words, P_NR1’+P_NR2’ &lt; = &gt; P_NN. </w:t>
      </w:r>
    </w:p>
    <w:p w14:paraId="2586B137" w14:textId="77777777" w:rsidR="00E734DE" w:rsidRDefault="00E734DE" w:rsidP="00530396">
      <w:pPr>
        <w:jc w:val="both"/>
        <w:rPr>
          <w:b/>
        </w:rPr>
      </w:pPr>
    </w:p>
    <w:p w14:paraId="384CF8C9" w14:textId="76F80FE5" w:rsidR="00530396" w:rsidRPr="009F51E5" w:rsidRDefault="00530396" w:rsidP="00530396">
      <w:pPr>
        <w:jc w:val="both"/>
        <w:rPr>
          <w:b/>
        </w:rPr>
      </w:pPr>
      <w:r w:rsidRPr="009F51E5">
        <w:rPr>
          <w:b/>
        </w:rPr>
        <w:t>From the UE side, the following behavior is expected:</w:t>
      </w:r>
    </w:p>
    <w:p w14:paraId="7BF11BCB" w14:textId="77777777" w:rsidR="00530396" w:rsidRPr="00926654" w:rsidRDefault="00530396" w:rsidP="00530396">
      <w:pPr>
        <w:pStyle w:val="ListParagraph"/>
        <w:numPr>
          <w:ilvl w:val="0"/>
          <w:numId w:val="9"/>
        </w:numPr>
        <w:jc w:val="both"/>
      </w:pPr>
      <w:r w:rsidRPr="009F51E5">
        <w:rPr>
          <w:rFonts w:ascii="Times New Roman" w:hAnsi="Times New Roman"/>
          <w:b/>
          <w:sz w:val="20"/>
        </w:rPr>
        <w:t>For the uplink transmission in cell group 1, the UE checks the semi-statically configured direction of the overlapping symbols of all serving cells of cell group 2</w:t>
      </w:r>
      <w:r>
        <w:rPr>
          <w:rFonts w:ascii="Times New Roman" w:hAnsi="Times New Roman"/>
          <w:b/>
          <w:sz w:val="20"/>
        </w:rPr>
        <w:t xml:space="preserve"> and vice versa</w:t>
      </w:r>
      <w:r w:rsidRPr="009F51E5">
        <w:rPr>
          <w:rFonts w:ascii="Times New Roman" w:hAnsi="Times New Roman"/>
          <w:b/>
          <w:sz w:val="20"/>
        </w:rPr>
        <w:t xml:space="preserve">. </w:t>
      </w:r>
      <w:r>
        <w:rPr>
          <w:rFonts w:ascii="Times New Roman" w:hAnsi="Times New Roman"/>
          <w:b/>
          <w:sz w:val="20"/>
        </w:rPr>
        <w:t xml:space="preserve">The UE chooses the maximum power allowed per cell group based on whether its uplink transmission collides with only semi-static ‘DL’ symbols, or with semi-static ‘UL’ and ‘flexible’ symbols. </w:t>
      </w:r>
      <w:r w:rsidRPr="009F51E5">
        <w:rPr>
          <w:rFonts w:ascii="Times New Roman" w:hAnsi="Times New Roman"/>
          <w:b/>
          <w:sz w:val="20"/>
        </w:rPr>
        <w:t xml:space="preserve"> </w:t>
      </w:r>
    </w:p>
    <w:p w14:paraId="36314D8A" w14:textId="77777777" w:rsidR="00383D54" w:rsidRDefault="00383D54" w:rsidP="00383D54">
      <w:pPr>
        <w:jc w:val="both"/>
        <w:rPr>
          <w:b/>
        </w:rPr>
      </w:pPr>
    </w:p>
    <w:p w14:paraId="08546053" w14:textId="2102B1A6" w:rsidR="00383D54" w:rsidRDefault="00383D54" w:rsidP="00383D54">
      <w:pPr>
        <w:jc w:val="both"/>
        <w:rPr>
          <w:b/>
        </w:rPr>
      </w:pPr>
      <w:r>
        <w:rPr>
          <w:b/>
        </w:rPr>
        <w:t xml:space="preserve">Support Alt.1 with the </w:t>
      </w:r>
      <w:r w:rsidR="00083D8D" w:rsidRPr="00083D8D">
        <w:rPr>
          <w:b/>
          <w:u w:val="single"/>
        </w:rPr>
        <w:t>underlined</w:t>
      </w:r>
      <w:r w:rsidR="00083D8D">
        <w:rPr>
          <w:b/>
        </w:rPr>
        <w:t xml:space="preserve"> </w:t>
      </w:r>
      <w:r>
        <w:rPr>
          <w:b/>
        </w:rPr>
        <w:t>clarification.</w:t>
      </w:r>
    </w:p>
    <w:p w14:paraId="28000A86" w14:textId="77777777" w:rsidR="00383D54" w:rsidRPr="00383D54" w:rsidRDefault="00383D54" w:rsidP="00383D54">
      <w:pPr>
        <w:numPr>
          <w:ilvl w:val="1"/>
          <w:numId w:val="17"/>
        </w:numPr>
        <w:tabs>
          <w:tab w:val="num" w:pos="1440"/>
        </w:tabs>
        <w:spacing w:after="0"/>
        <w:ind w:hanging="357"/>
        <w:rPr>
          <w:b/>
        </w:rPr>
      </w:pPr>
      <w:r w:rsidRPr="00383D54">
        <w:rPr>
          <w:b/>
        </w:rPr>
        <w:t>Alt.1: For the uplink transmission in MCG, the UE checks the semi-statically configured direction of the overlapping symbols of all serving cells of SCG, and vice versa.</w:t>
      </w:r>
    </w:p>
    <w:p w14:paraId="24A07D44" w14:textId="1DCDBD28" w:rsidR="00383D54" w:rsidRPr="00383D54" w:rsidRDefault="00383D54" w:rsidP="00383D54">
      <w:pPr>
        <w:numPr>
          <w:ilvl w:val="2"/>
          <w:numId w:val="17"/>
        </w:numPr>
        <w:tabs>
          <w:tab w:val="num" w:pos="2160"/>
        </w:tabs>
        <w:spacing w:after="0"/>
        <w:ind w:hanging="357"/>
        <w:rPr>
          <w:b/>
        </w:rPr>
      </w:pPr>
      <w:r w:rsidRPr="00383D54">
        <w:rPr>
          <w:b/>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383D54">
        <w:rPr>
          <w:b/>
        </w:rPr>
        <w:t xml:space="preserve">in MCG such that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r>
          <m:rPr>
            <m:sty m:val="b"/>
          </m:rPr>
          <w:rPr>
            <w:rFonts w:ascii="Cambria Math" w:hAnsi="Cambria Math"/>
          </w:rPr>
          <m:t>≤</m:t>
        </m:r>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383D54">
        <w:rPr>
          <w:b/>
        </w:rPr>
        <w:t xml:space="preserve">; </w:t>
      </w:r>
    </w:p>
    <w:p w14:paraId="3BF2513A" w14:textId="0A895662" w:rsidR="00383D54" w:rsidRPr="00383D54" w:rsidRDefault="00383D54" w:rsidP="00383D54">
      <w:pPr>
        <w:numPr>
          <w:ilvl w:val="2"/>
          <w:numId w:val="17"/>
        </w:numPr>
        <w:tabs>
          <w:tab w:val="num" w:pos="2160"/>
        </w:tabs>
        <w:spacing w:after="0"/>
        <w:ind w:hanging="357"/>
        <w:rPr>
          <w:b/>
        </w:rPr>
      </w:pPr>
      <w:r w:rsidRPr="00383D54">
        <w:rPr>
          <w:b/>
        </w:rPr>
        <w:t xml:space="preserve">Otherwise (i.e. collides with only semi-static ‘DL’ symbols on all CCs of SCG),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MCG</m:t>
            </m:r>
          </m:sub>
        </m:sSub>
      </m:oMath>
      <w:r w:rsidRPr="00383D54">
        <w:rPr>
          <w:b/>
        </w:rPr>
        <w:t xml:space="preserve"> can be up to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383D54">
        <w:rPr>
          <w:b/>
        </w:rPr>
        <w:t xml:space="preserve"> and  </w:t>
      </w:r>
      <m:oMath>
        <m:sSub>
          <m:sSubPr>
            <m:ctrlPr>
              <w:rPr>
                <w:rFonts w:ascii="Cambria Math" w:hAnsi="Cambria Math"/>
                <w:b/>
                <w:i/>
                <w:iCs/>
              </w:rPr>
            </m:ctrlPr>
          </m:sSubPr>
          <m:e>
            <m:r>
              <m:rPr>
                <m:sty m:val="b"/>
              </m:rPr>
              <w:rPr>
                <w:rFonts w:ascii="Cambria Math" w:hAnsi="Cambria Math"/>
              </w:rPr>
              <m:t>p</m:t>
            </m:r>
          </m:e>
          <m:sub>
            <m:r>
              <m:rPr>
                <m:sty m:val="b"/>
              </m:rPr>
              <w:rPr>
                <w:rFonts w:ascii="Cambria Math" w:hAnsi="Cambria Math"/>
              </w:rPr>
              <m:t>SCG</m:t>
            </m:r>
          </m:sub>
        </m:sSub>
      </m:oMath>
      <w:r w:rsidRPr="00383D54">
        <w:rPr>
          <w:b/>
        </w:rPr>
        <w:t xml:space="preserve"> can be up to </w:t>
      </w:r>
      <m:oMath>
        <m:r>
          <m:rPr>
            <m:sty m:val="b"/>
          </m:rPr>
          <w:rPr>
            <w:rFonts w:ascii="Cambria Math" w:hAnsi="Cambria Math"/>
          </w:rPr>
          <m:t> </m:t>
        </m:r>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383D54">
        <w:rPr>
          <w:b/>
        </w:rPr>
        <w:t>.</w:t>
      </w:r>
    </w:p>
    <w:p w14:paraId="5A22E866" w14:textId="3F3849E8" w:rsidR="00383D54" w:rsidRPr="00383D54" w:rsidRDefault="00383D54" w:rsidP="00383D54">
      <w:pPr>
        <w:numPr>
          <w:ilvl w:val="3"/>
          <w:numId w:val="17"/>
        </w:numPr>
        <w:tabs>
          <w:tab w:val="num" w:pos="2880"/>
        </w:tabs>
        <w:spacing w:after="0"/>
        <w:ind w:hanging="357"/>
        <w:rPr>
          <w:b/>
        </w:rPr>
      </w:pPr>
      <w:r w:rsidRPr="00383D54">
        <w:rPr>
          <w:b/>
        </w:rPr>
        <w:t xml:space="preserve">Alt.1-1: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383D54">
        <w:rPr>
          <w:b/>
        </w:rPr>
        <w:t xml:space="preserve"> and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383D54">
        <w:rPr>
          <w:b/>
        </w:rPr>
        <w:t xml:space="preserve">  are configured by RRC signaling. </w:t>
      </w:r>
    </w:p>
    <w:p w14:paraId="083A7217" w14:textId="4E2AB1F2" w:rsidR="00383D54" w:rsidRPr="00383D54" w:rsidRDefault="00383D54" w:rsidP="00383D54">
      <w:pPr>
        <w:numPr>
          <w:ilvl w:val="3"/>
          <w:numId w:val="17"/>
        </w:numPr>
        <w:tabs>
          <w:tab w:val="num" w:pos="2880"/>
        </w:tabs>
        <w:spacing w:after="0"/>
        <w:ind w:hanging="357"/>
        <w:rPr>
          <w:b/>
        </w:rPr>
      </w:pPr>
      <w:r w:rsidRPr="00383D54">
        <w:rPr>
          <w:b/>
        </w:rPr>
        <w:t xml:space="preserve">Alt.1-2: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MCG</m:t>
            </m:r>
          </m:sub>
          <m:sup>
            <m:r>
              <m:rPr>
                <m:sty m:val="b"/>
              </m:rPr>
              <w:rPr>
                <w:rFonts w:ascii="Cambria Math" w:hAnsi="Cambria Math"/>
              </w:rPr>
              <m:t>'</m:t>
            </m:r>
          </m:sup>
        </m:sSubSup>
      </m:oMath>
      <w:r w:rsidRPr="00383D54">
        <w:rPr>
          <w:b/>
        </w:rPr>
        <w:t xml:space="preserve"> and </w:t>
      </w:r>
      <m:oMath>
        <m:sSubSup>
          <m:sSubSupPr>
            <m:ctrlPr>
              <w:rPr>
                <w:rFonts w:ascii="Cambria Math" w:hAnsi="Cambria Math"/>
                <w:b/>
                <w:i/>
                <w:iCs/>
              </w:rPr>
            </m:ctrlPr>
          </m:sSubSupPr>
          <m:e>
            <m:r>
              <m:rPr>
                <m:sty m:val="b"/>
              </m:rPr>
              <w:rPr>
                <w:rFonts w:ascii="Cambria Math" w:hAnsi="Cambria Math"/>
              </w:rPr>
              <m:t>P</m:t>
            </m:r>
          </m:e>
          <m:sub>
            <m:r>
              <m:rPr>
                <m:sty m:val="b"/>
              </m:rPr>
              <w:rPr>
                <w:rFonts w:ascii="Cambria Math" w:hAnsi="Cambria Math"/>
              </w:rPr>
              <m:t>SCG</m:t>
            </m:r>
          </m:sub>
          <m:sup>
            <m:r>
              <m:rPr>
                <m:sty m:val="b"/>
              </m:rPr>
              <w:rPr>
                <w:rFonts w:ascii="Cambria Math" w:hAnsi="Cambria Math"/>
              </w:rPr>
              <m:t>'</m:t>
            </m:r>
          </m:sup>
        </m:sSubSup>
      </m:oMath>
      <w:r w:rsidRPr="00383D54">
        <w:rPr>
          <w:b/>
        </w:rPr>
        <w:t xml:space="preserve">  are determined by RAN4 requirement. </w:t>
      </w:r>
    </w:p>
    <w:p w14:paraId="45379873" w14:textId="77777777" w:rsidR="00383D54" w:rsidRPr="00083D8D" w:rsidRDefault="00383D54" w:rsidP="00383D54">
      <w:pPr>
        <w:numPr>
          <w:ilvl w:val="2"/>
          <w:numId w:val="17"/>
        </w:numPr>
        <w:tabs>
          <w:tab w:val="num" w:pos="2880"/>
          <w:tab w:val="left" w:pos="4678"/>
        </w:tabs>
        <w:spacing w:after="0"/>
        <w:rPr>
          <w:b/>
          <w:u w:val="single"/>
        </w:rPr>
      </w:pPr>
      <w:r w:rsidRPr="00083D8D">
        <w:rPr>
          <w:b/>
          <w:u w:val="single"/>
        </w:rPr>
        <w:lastRenderedPageBreak/>
        <w:t xml:space="preserve">It is up to UE to determine whether the overlapping with UL transmission on the SCG is possible, if/when factors other than the TDD UL-DL configurations of the serving cells in the SCG (e.g., timing difference, drift) need to be </w:t>
      </w:r>
      <w:proofErr w:type="gramStart"/>
      <w:r w:rsidRPr="00083D8D">
        <w:rPr>
          <w:b/>
          <w:u w:val="single"/>
        </w:rPr>
        <w:t>taken into account</w:t>
      </w:r>
      <w:proofErr w:type="gramEnd"/>
      <w:r w:rsidRPr="00083D8D">
        <w:rPr>
          <w:b/>
          <w:u w:val="single"/>
        </w:rPr>
        <w:t>.</w:t>
      </w:r>
    </w:p>
    <w:p w14:paraId="783B20F9" w14:textId="2DE82D94" w:rsidR="00530396" w:rsidRDefault="00530396" w:rsidP="00530396"/>
    <w:p w14:paraId="5A270092" w14:textId="21FD183F" w:rsidR="00530396" w:rsidRDefault="00530396" w:rsidP="00530396">
      <w:pPr>
        <w:jc w:val="both"/>
        <w:rPr>
          <w:b/>
        </w:rPr>
      </w:pPr>
      <w:r w:rsidRPr="007E0316">
        <w:rPr>
          <w:b/>
        </w:rPr>
        <w:t xml:space="preserve">Proposal </w:t>
      </w:r>
      <w:r w:rsidR="00CD16D0">
        <w:rPr>
          <w:rFonts w:eastAsia="MS Mincho" w:hint="eastAsia"/>
          <w:b/>
          <w:lang w:eastAsia="ja-JP"/>
        </w:rPr>
        <w:t>2</w:t>
      </w:r>
      <w:r w:rsidRPr="007E0316">
        <w:rPr>
          <w:b/>
        </w:rPr>
        <w:t xml:space="preserve">: </w:t>
      </w:r>
      <w:r>
        <w:rPr>
          <w:b/>
        </w:rPr>
        <w:t xml:space="preserve">If a dynamic power sharing needs to be supported, it should be </w:t>
      </w:r>
      <w:r w:rsidR="00E21C9C">
        <w:rPr>
          <w:b/>
        </w:rPr>
        <w:t xml:space="preserve">based on the following </w:t>
      </w:r>
      <w:proofErr w:type="gramStart"/>
      <w:r w:rsidR="00E21C9C">
        <w:rPr>
          <w:b/>
        </w:rPr>
        <w:t>principles:</w:t>
      </w:r>
      <w:r>
        <w:rPr>
          <w:b/>
        </w:rPr>
        <w:t>.</w:t>
      </w:r>
      <w:proofErr w:type="gramEnd"/>
    </w:p>
    <w:p w14:paraId="254DD375" w14:textId="77777777" w:rsidR="00530396" w:rsidRDefault="00530396" w:rsidP="00530396">
      <w:pPr>
        <w:pStyle w:val="ListParagraph"/>
        <w:numPr>
          <w:ilvl w:val="0"/>
          <w:numId w:val="9"/>
        </w:numPr>
        <w:jc w:val="both"/>
        <w:rPr>
          <w:rFonts w:ascii="Times New Roman" w:hAnsi="Times New Roman"/>
          <w:b/>
          <w:sz w:val="20"/>
        </w:rPr>
      </w:pPr>
      <w:r>
        <w:rPr>
          <w:rFonts w:ascii="Times New Roman" w:hAnsi="Times New Roman"/>
          <w:b/>
          <w:sz w:val="20"/>
        </w:rPr>
        <w:t>The support of dynamic power sharing is optional with a UE capability signaling.</w:t>
      </w:r>
    </w:p>
    <w:p w14:paraId="35B5F0FE" w14:textId="77777777" w:rsidR="00530396" w:rsidRPr="00383D54" w:rsidRDefault="00530396" w:rsidP="00530396">
      <w:pPr>
        <w:pStyle w:val="ListParagraph"/>
        <w:numPr>
          <w:ilvl w:val="0"/>
          <w:numId w:val="9"/>
        </w:numPr>
        <w:jc w:val="both"/>
        <w:rPr>
          <w:rFonts w:ascii="Times New Roman" w:hAnsi="Times New Roman"/>
          <w:b/>
          <w:sz w:val="20"/>
        </w:rPr>
      </w:pPr>
      <w:r>
        <w:rPr>
          <w:rFonts w:ascii="Times New Roman" w:eastAsia="MS Mincho" w:hAnsi="Times New Roman"/>
          <w:b/>
          <w:sz w:val="20"/>
          <w:lang w:eastAsia="ja-JP"/>
        </w:rPr>
        <w:t>UE is not required to perform look-ahead.</w:t>
      </w:r>
    </w:p>
    <w:p w14:paraId="1FEB10AC" w14:textId="77777777" w:rsidR="00530396" w:rsidRPr="00383D54" w:rsidRDefault="00530396" w:rsidP="00530396">
      <w:pPr>
        <w:pStyle w:val="ListParagraph"/>
        <w:numPr>
          <w:ilvl w:val="0"/>
          <w:numId w:val="9"/>
        </w:numPr>
        <w:jc w:val="both"/>
        <w:rPr>
          <w:rFonts w:ascii="Times New Roman" w:hAnsi="Times New Roman"/>
          <w:b/>
          <w:sz w:val="20"/>
        </w:rPr>
      </w:pPr>
      <w:r>
        <w:rPr>
          <w:rFonts w:ascii="Times New Roman" w:eastAsia="MS Mincho" w:hAnsi="Times New Roman" w:hint="eastAsia"/>
          <w:b/>
          <w:sz w:val="20"/>
          <w:lang w:eastAsia="ja-JP"/>
        </w:rPr>
        <w:t>S</w:t>
      </w:r>
      <w:r>
        <w:rPr>
          <w:rFonts w:ascii="Times New Roman" w:eastAsia="MS Mincho" w:hAnsi="Times New Roman"/>
          <w:b/>
          <w:sz w:val="20"/>
          <w:lang w:eastAsia="ja-JP"/>
        </w:rPr>
        <w:t>upport a minimum reserved power for SCG.</w:t>
      </w:r>
    </w:p>
    <w:p w14:paraId="17EB6C81" w14:textId="77777777" w:rsidR="00530396" w:rsidRDefault="00530396" w:rsidP="00530396">
      <w:pPr>
        <w:pStyle w:val="ListParagraph"/>
        <w:numPr>
          <w:ilvl w:val="0"/>
          <w:numId w:val="9"/>
        </w:numPr>
        <w:jc w:val="both"/>
        <w:rPr>
          <w:rFonts w:ascii="Times New Roman" w:hAnsi="Times New Roman"/>
          <w:b/>
          <w:sz w:val="20"/>
        </w:rPr>
      </w:pPr>
      <w:r>
        <w:rPr>
          <w:rFonts w:ascii="Times New Roman" w:hAnsi="Times New Roman"/>
          <w:b/>
          <w:sz w:val="20"/>
        </w:rPr>
        <w:t>Procedure for dynamic power sharing:</w:t>
      </w:r>
    </w:p>
    <w:p w14:paraId="3DAE586C" w14:textId="77777777" w:rsidR="00530396" w:rsidRPr="00EA3E3C" w:rsidRDefault="00530396" w:rsidP="00383D54">
      <w:pPr>
        <w:pStyle w:val="ListParagraph"/>
        <w:numPr>
          <w:ilvl w:val="1"/>
          <w:numId w:val="9"/>
        </w:numPr>
        <w:jc w:val="both"/>
        <w:rPr>
          <w:rFonts w:ascii="Times New Roman" w:hAnsi="Times New Roman"/>
          <w:b/>
          <w:sz w:val="20"/>
        </w:rPr>
      </w:pPr>
      <w:r w:rsidRPr="00EA3E3C">
        <w:rPr>
          <w:rFonts w:ascii="Times New Roman" w:hAnsi="Times New Roman"/>
          <w:b/>
          <w:sz w:val="20"/>
        </w:rPr>
        <w:t>Per occasion, the sum power of MCG across all its CCs is calculated.</w:t>
      </w:r>
      <w:r>
        <w:rPr>
          <w:rFonts w:ascii="Times New Roman" w:hAnsi="Times New Roman"/>
          <w:b/>
          <w:sz w:val="20"/>
        </w:rPr>
        <w:t xml:space="preserve"> I</w:t>
      </w:r>
      <w:r w:rsidRPr="00EA3E3C">
        <w:rPr>
          <w:rFonts w:ascii="Times New Roman" w:hAnsi="Times New Roman"/>
          <w:b/>
          <w:sz w:val="20"/>
        </w:rPr>
        <w:t xml:space="preserve">f needed, </w:t>
      </w:r>
      <w:r>
        <w:rPr>
          <w:rFonts w:ascii="Times New Roman" w:hAnsi="Times New Roman"/>
          <w:b/>
          <w:sz w:val="20"/>
        </w:rPr>
        <w:t xml:space="preserve">the sum power of MCG is scaled-down, </w:t>
      </w:r>
      <w:proofErr w:type="gramStart"/>
      <w:r>
        <w:rPr>
          <w:rFonts w:ascii="Times New Roman" w:hAnsi="Times New Roman"/>
          <w:b/>
          <w:sz w:val="20"/>
        </w:rPr>
        <w:t>taking into account</w:t>
      </w:r>
      <w:proofErr w:type="gramEnd"/>
      <w:r>
        <w:rPr>
          <w:rFonts w:ascii="Times New Roman" w:hAnsi="Times New Roman"/>
          <w:b/>
          <w:sz w:val="20"/>
        </w:rPr>
        <w:t xml:space="preserve"> minimum reserved power for SCG (if configured)</w:t>
      </w:r>
      <w:r w:rsidRPr="00EA3E3C">
        <w:rPr>
          <w:rFonts w:ascii="Times New Roman" w:hAnsi="Times New Roman"/>
          <w:b/>
          <w:sz w:val="20"/>
        </w:rPr>
        <w:t>.</w:t>
      </w:r>
    </w:p>
    <w:p w14:paraId="6482EC9E" w14:textId="11154BA9" w:rsidR="00530396" w:rsidRDefault="00530396" w:rsidP="00383D54">
      <w:pPr>
        <w:pStyle w:val="ListParagraph"/>
        <w:numPr>
          <w:ilvl w:val="1"/>
          <w:numId w:val="9"/>
        </w:numPr>
        <w:jc w:val="both"/>
        <w:rPr>
          <w:rFonts w:ascii="Times New Roman" w:hAnsi="Times New Roman"/>
          <w:b/>
          <w:sz w:val="20"/>
        </w:rPr>
      </w:pPr>
      <w:r w:rsidRPr="00155D71">
        <w:rPr>
          <w:rFonts w:ascii="Times New Roman" w:hAnsi="Times New Roman"/>
          <w:b/>
          <w:sz w:val="20"/>
        </w:rPr>
        <w:t>The s</w:t>
      </w:r>
      <w:r w:rsidRPr="00197935">
        <w:rPr>
          <w:rFonts w:ascii="Times New Roman" w:hAnsi="Times New Roman"/>
          <w:b/>
          <w:sz w:val="20"/>
        </w:rPr>
        <w:t xml:space="preserve">um power of MCG is passed to SCG. </w:t>
      </w:r>
      <w:r>
        <w:rPr>
          <w:rFonts w:ascii="Times New Roman" w:hAnsi="Times New Roman"/>
          <w:b/>
          <w:sz w:val="20"/>
        </w:rPr>
        <w:t xml:space="preserve">Based on this, </w:t>
      </w:r>
      <w:r w:rsidR="00E21C9C">
        <w:rPr>
          <w:rFonts w:ascii="Times New Roman" w:hAnsi="Times New Roman"/>
          <w:b/>
          <w:sz w:val="20"/>
        </w:rPr>
        <w:t xml:space="preserve">the </w:t>
      </w:r>
      <w:r>
        <w:rPr>
          <w:rFonts w:ascii="Times New Roman" w:hAnsi="Times New Roman"/>
          <w:b/>
          <w:sz w:val="20"/>
        </w:rPr>
        <w:t>total available power for SCG is identified</w:t>
      </w:r>
      <w:r w:rsidRPr="00197935">
        <w:rPr>
          <w:rFonts w:ascii="Times New Roman" w:hAnsi="Times New Roman"/>
          <w:b/>
          <w:sz w:val="20"/>
        </w:rPr>
        <w:t>.</w:t>
      </w:r>
    </w:p>
    <w:p w14:paraId="0DBC4AE2" w14:textId="21A07FC5" w:rsidR="00530396" w:rsidRPr="00383D54" w:rsidRDefault="00530396" w:rsidP="00530396">
      <w:pPr>
        <w:pStyle w:val="ListParagraph"/>
        <w:numPr>
          <w:ilvl w:val="1"/>
          <w:numId w:val="9"/>
        </w:numPr>
        <w:jc w:val="both"/>
        <w:rPr>
          <w:rFonts w:ascii="Times New Roman" w:hAnsi="Times New Roman"/>
          <w:b/>
          <w:sz w:val="20"/>
        </w:rPr>
      </w:pPr>
      <w:r>
        <w:rPr>
          <w:rFonts w:ascii="Times New Roman" w:eastAsia="MS Mincho" w:hAnsi="Times New Roman" w:hint="eastAsia"/>
          <w:b/>
          <w:sz w:val="20"/>
          <w:lang w:eastAsia="ja-JP"/>
        </w:rPr>
        <w:t>P</w:t>
      </w:r>
      <w:r>
        <w:rPr>
          <w:rFonts w:ascii="Times New Roman" w:eastAsia="MS Mincho" w:hAnsi="Times New Roman"/>
          <w:b/>
          <w:sz w:val="20"/>
          <w:lang w:eastAsia="ja-JP"/>
        </w:rPr>
        <w:t>er CG, CA power determination is performed</w:t>
      </w:r>
      <w:r w:rsidR="00E21C9C">
        <w:rPr>
          <w:rFonts w:ascii="Times New Roman" w:eastAsia="MS Mincho" w:hAnsi="Times New Roman"/>
          <w:b/>
          <w:sz w:val="20"/>
          <w:lang w:eastAsia="ja-JP"/>
        </w:rPr>
        <w:t xml:space="preserve"> </w:t>
      </w:r>
      <w:proofErr w:type="gramStart"/>
      <w:r w:rsidR="00E21C9C">
        <w:rPr>
          <w:rFonts w:ascii="Times New Roman" w:eastAsia="MS Mincho" w:hAnsi="Times New Roman"/>
          <w:b/>
          <w:sz w:val="20"/>
          <w:lang w:eastAsia="ja-JP"/>
        </w:rPr>
        <w:t>similar to</w:t>
      </w:r>
      <w:proofErr w:type="gramEnd"/>
      <w:r w:rsidR="00E21C9C">
        <w:rPr>
          <w:rFonts w:ascii="Times New Roman" w:eastAsia="MS Mincho" w:hAnsi="Times New Roman"/>
          <w:b/>
          <w:sz w:val="20"/>
          <w:lang w:eastAsia="ja-JP"/>
        </w:rPr>
        <w:t xml:space="preserve"> Rel. 15 NR</w:t>
      </w:r>
      <w:r>
        <w:rPr>
          <w:rFonts w:ascii="Times New Roman" w:eastAsia="MS Mincho" w:hAnsi="Times New Roman"/>
          <w:b/>
          <w:sz w:val="20"/>
          <w:lang w:eastAsia="ja-JP"/>
        </w:rPr>
        <w:t>.</w:t>
      </w:r>
    </w:p>
    <w:p w14:paraId="3F294A0D" w14:textId="77777777" w:rsidR="00530396" w:rsidRPr="00530396" w:rsidRDefault="00530396" w:rsidP="00383D54"/>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0BFE4F40" w14:textId="446401FB" w:rsidR="0072280B" w:rsidRPr="00335267" w:rsidRDefault="0072280B" w:rsidP="0072280B">
      <w:pPr>
        <w:jc w:val="both"/>
        <w:rPr>
          <w:b/>
          <w:lang w:val="en-GB"/>
        </w:rPr>
      </w:pPr>
      <w:r w:rsidRPr="00335267">
        <w:rPr>
          <w:b/>
          <w:lang w:val="en-GB"/>
        </w:rPr>
        <w:t>[1] R1-190</w:t>
      </w:r>
      <w:r w:rsidR="00E262D6">
        <w:rPr>
          <w:b/>
          <w:lang w:val="en-GB"/>
        </w:rPr>
        <w:t>9864</w:t>
      </w:r>
      <w:r w:rsidRPr="00335267">
        <w:rPr>
          <w:b/>
          <w:lang w:val="en-GB"/>
        </w:rPr>
        <w:t>, “</w:t>
      </w:r>
      <w:r w:rsidR="00E262D6" w:rsidRPr="00E262D6">
        <w:rPr>
          <w:b/>
          <w:lang w:val="en-GB"/>
        </w:rPr>
        <w:t>Summary #3 for Uplink Power Control for Supporting NN-DC</w:t>
      </w:r>
      <w:r w:rsidRPr="00335267">
        <w:rPr>
          <w:b/>
          <w:lang w:val="en-GB"/>
        </w:rPr>
        <w:t xml:space="preserve">,” </w:t>
      </w:r>
      <w:r w:rsidR="00E262D6">
        <w:rPr>
          <w:b/>
          <w:lang w:val="en-GB"/>
        </w:rPr>
        <w:t>Apple Inc</w:t>
      </w:r>
      <w:r w:rsidRPr="00335267">
        <w:rPr>
          <w:b/>
          <w:lang w:val="en-GB"/>
        </w:rPr>
        <w:t>.</w:t>
      </w:r>
    </w:p>
    <w:p w14:paraId="6335281A" w14:textId="7CCF30B8" w:rsidR="00335267" w:rsidRPr="00335267" w:rsidRDefault="00335267" w:rsidP="0072280B">
      <w:pPr>
        <w:jc w:val="both"/>
        <w:rPr>
          <w:b/>
          <w:lang w:val="en-GB"/>
        </w:rPr>
      </w:pPr>
      <w:r w:rsidRPr="00335267">
        <w:rPr>
          <w:b/>
          <w:lang w:val="en-GB"/>
        </w:rPr>
        <w:t>[</w:t>
      </w:r>
      <w:r w:rsidR="0072280B">
        <w:rPr>
          <w:b/>
          <w:lang w:val="en-GB"/>
        </w:rPr>
        <w:t>2</w:t>
      </w:r>
      <w:r w:rsidRPr="00335267">
        <w:rPr>
          <w:b/>
          <w:lang w:val="en-GB"/>
        </w:rPr>
        <w:t>] R1-190</w:t>
      </w:r>
      <w:r w:rsidR="009962D4">
        <w:rPr>
          <w:b/>
          <w:lang w:val="en-GB"/>
        </w:rPr>
        <w:t>7891</w:t>
      </w:r>
      <w:r w:rsidRPr="00335267">
        <w:rPr>
          <w:b/>
          <w:lang w:val="en-GB"/>
        </w:rPr>
        <w:t xml:space="preserve">, “Feature lead summary </w:t>
      </w:r>
      <w:r w:rsidR="009962D4">
        <w:rPr>
          <w:b/>
          <w:lang w:val="en-GB"/>
        </w:rPr>
        <w:t xml:space="preserve">#2 </w:t>
      </w:r>
      <w:r w:rsidR="009962D4" w:rsidRPr="009962D4">
        <w:rPr>
          <w:b/>
          <w:lang w:val="en-GB"/>
        </w:rPr>
        <w:t>for Uplink Power Control for Supporting NN-DC</w:t>
      </w:r>
      <w:r w:rsidRPr="00335267">
        <w:rPr>
          <w:b/>
          <w:lang w:val="en-GB"/>
        </w:rPr>
        <w:t>,” Intel Corp.</w:t>
      </w:r>
    </w:p>
    <w:p w14:paraId="26E152C5" w14:textId="77777777" w:rsidR="004F153B" w:rsidRDefault="004F153B" w:rsidP="004F69E9">
      <w:pPr>
        <w:jc w:val="both"/>
        <w:rPr>
          <w:b/>
        </w:rPr>
      </w:pPr>
    </w:p>
    <w:p w14:paraId="6C22B6F0" w14:textId="77777777" w:rsidR="004F69E9" w:rsidRPr="004F69E9" w:rsidRDefault="004F69E9" w:rsidP="004F69E9"/>
    <w:sectPr w:rsidR="004F69E9" w:rsidRPr="004F69E9"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9A410" w14:textId="77777777" w:rsidR="002859CA" w:rsidRDefault="002859CA">
      <w:r>
        <w:separator/>
      </w:r>
    </w:p>
  </w:endnote>
  <w:endnote w:type="continuationSeparator" w:id="0">
    <w:p w14:paraId="6948F6C0" w14:textId="77777777" w:rsidR="002859CA" w:rsidRDefault="002859CA">
      <w:r>
        <w:continuationSeparator/>
      </w:r>
    </w:p>
  </w:endnote>
  <w:endnote w:type="continuationNotice" w:id="1">
    <w:p w14:paraId="3BB75984" w14:textId="77777777" w:rsidR="002859CA" w:rsidRDefault="00285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1D34" w14:textId="77777777" w:rsidR="002859CA" w:rsidRDefault="002859CA">
      <w:r>
        <w:separator/>
      </w:r>
    </w:p>
  </w:footnote>
  <w:footnote w:type="continuationSeparator" w:id="0">
    <w:p w14:paraId="155C0117" w14:textId="77777777" w:rsidR="002859CA" w:rsidRDefault="002859CA">
      <w:r>
        <w:continuationSeparator/>
      </w:r>
    </w:p>
  </w:footnote>
  <w:footnote w:type="continuationNotice" w:id="1">
    <w:p w14:paraId="4A2DECC3" w14:textId="77777777" w:rsidR="002859CA" w:rsidRDefault="00285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571E6"/>
    <w:multiLevelType w:val="hybridMultilevel"/>
    <w:tmpl w:val="19A89E74"/>
    <w:lvl w:ilvl="0" w:tplc="C638F76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44BE8"/>
    <w:multiLevelType w:val="hybridMultilevel"/>
    <w:tmpl w:val="84B2052A"/>
    <w:lvl w:ilvl="0" w:tplc="A064BF76">
      <w:start w:val="1"/>
      <w:numFmt w:val="bullet"/>
      <w:lvlText w:val="•"/>
      <w:lvlJc w:val="left"/>
      <w:pPr>
        <w:tabs>
          <w:tab w:val="num" w:pos="357"/>
        </w:tabs>
        <w:ind w:left="357" w:hanging="360"/>
      </w:pPr>
      <w:rPr>
        <w:rFonts w:ascii="Arial" w:hAnsi="Arial" w:hint="default"/>
      </w:rPr>
    </w:lvl>
    <w:lvl w:ilvl="1" w:tplc="84DED5B4">
      <w:start w:val="142"/>
      <w:numFmt w:val="bullet"/>
      <w:lvlText w:val="•"/>
      <w:lvlJc w:val="left"/>
      <w:pPr>
        <w:tabs>
          <w:tab w:val="num" w:pos="1077"/>
        </w:tabs>
        <w:ind w:left="1077" w:hanging="360"/>
      </w:pPr>
      <w:rPr>
        <w:rFonts w:ascii="Arial" w:hAnsi="Arial" w:hint="default"/>
      </w:rPr>
    </w:lvl>
    <w:lvl w:ilvl="2" w:tplc="FCE816D0">
      <w:start w:val="142"/>
      <w:numFmt w:val="bullet"/>
      <w:lvlText w:val="•"/>
      <w:lvlJc w:val="left"/>
      <w:pPr>
        <w:tabs>
          <w:tab w:val="num" w:pos="1797"/>
        </w:tabs>
        <w:ind w:left="1797" w:hanging="360"/>
      </w:pPr>
      <w:rPr>
        <w:rFonts w:ascii="Arial" w:hAnsi="Arial" w:hint="default"/>
      </w:rPr>
    </w:lvl>
    <w:lvl w:ilvl="3" w:tplc="977043E4">
      <w:start w:val="142"/>
      <w:numFmt w:val="bullet"/>
      <w:lvlText w:val="•"/>
      <w:lvlJc w:val="left"/>
      <w:pPr>
        <w:tabs>
          <w:tab w:val="num" w:pos="2517"/>
        </w:tabs>
        <w:ind w:left="2517" w:hanging="360"/>
      </w:pPr>
      <w:rPr>
        <w:rFonts w:ascii="Arial" w:hAnsi="Arial" w:hint="default"/>
      </w:rPr>
    </w:lvl>
    <w:lvl w:ilvl="4" w:tplc="D26E410C" w:tentative="1">
      <w:start w:val="1"/>
      <w:numFmt w:val="bullet"/>
      <w:lvlText w:val="•"/>
      <w:lvlJc w:val="left"/>
      <w:pPr>
        <w:tabs>
          <w:tab w:val="num" w:pos="3237"/>
        </w:tabs>
        <w:ind w:left="3237" w:hanging="360"/>
      </w:pPr>
      <w:rPr>
        <w:rFonts w:ascii="Arial" w:hAnsi="Arial" w:hint="default"/>
      </w:rPr>
    </w:lvl>
    <w:lvl w:ilvl="5" w:tplc="FE3012AC" w:tentative="1">
      <w:start w:val="1"/>
      <w:numFmt w:val="bullet"/>
      <w:lvlText w:val="•"/>
      <w:lvlJc w:val="left"/>
      <w:pPr>
        <w:tabs>
          <w:tab w:val="num" w:pos="3957"/>
        </w:tabs>
        <w:ind w:left="3957" w:hanging="360"/>
      </w:pPr>
      <w:rPr>
        <w:rFonts w:ascii="Arial" w:hAnsi="Arial" w:hint="default"/>
      </w:rPr>
    </w:lvl>
    <w:lvl w:ilvl="6" w:tplc="91AC1B18" w:tentative="1">
      <w:start w:val="1"/>
      <w:numFmt w:val="bullet"/>
      <w:lvlText w:val="•"/>
      <w:lvlJc w:val="left"/>
      <w:pPr>
        <w:tabs>
          <w:tab w:val="num" w:pos="4677"/>
        </w:tabs>
        <w:ind w:left="4677" w:hanging="360"/>
      </w:pPr>
      <w:rPr>
        <w:rFonts w:ascii="Arial" w:hAnsi="Arial" w:hint="default"/>
      </w:rPr>
    </w:lvl>
    <w:lvl w:ilvl="7" w:tplc="E0B6623E" w:tentative="1">
      <w:start w:val="1"/>
      <w:numFmt w:val="bullet"/>
      <w:lvlText w:val="•"/>
      <w:lvlJc w:val="left"/>
      <w:pPr>
        <w:tabs>
          <w:tab w:val="num" w:pos="5397"/>
        </w:tabs>
        <w:ind w:left="5397" w:hanging="360"/>
      </w:pPr>
      <w:rPr>
        <w:rFonts w:ascii="Arial" w:hAnsi="Arial" w:hint="default"/>
      </w:rPr>
    </w:lvl>
    <w:lvl w:ilvl="8" w:tplc="842E6814"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0"/>
    <w:lvlOverride w:ilvl="0">
      <w:startOverride w:val="1"/>
    </w:lvlOverride>
  </w:num>
  <w:num w:numId="4">
    <w:abstractNumId w:val="19"/>
  </w:num>
  <w:num w:numId="5">
    <w:abstractNumId w:val="18"/>
  </w:num>
  <w:num w:numId="6">
    <w:abstractNumId w:val="7"/>
  </w:num>
  <w:num w:numId="7">
    <w:abstractNumId w:val="4"/>
  </w:num>
  <w:num w:numId="8">
    <w:abstractNumId w:val="14"/>
  </w:num>
  <w:num w:numId="9">
    <w:abstractNumId w:val="11"/>
  </w:num>
  <w:num w:numId="10">
    <w:abstractNumId w:val="16"/>
  </w:num>
  <w:num w:numId="11">
    <w:abstractNumId w:val="17"/>
  </w:num>
  <w:num w:numId="12">
    <w:abstractNumId w:val="13"/>
  </w:num>
  <w:num w:numId="13">
    <w:abstractNumId w:val="8"/>
  </w:num>
  <w:num w:numId="14">
    <w:abstractNumId w:val="1"/>
  </w:num>
  <w:num w:numId="15">
    <w:abstractNumId w:val="12"/>
  </w:num>
  <w:num w:numId="16">
    <w:abstractNumId w:val="2"/>
  </w:num>
  <w:num w:numId="17">
    <w:abstractNumId w:val="9"/>
  </w:num>
  <w:num w:numId="18">
    <w:abstractNumId w:val="15"/>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1F"/>
    <w:rsid w:val="00021DEC"/>
    <w:rsid w:val="000221EB"/>
    <w:rsid w:val="0002226E"/>
    <w:rsid w:val="000222F7"/>
    <w:rsid w:val="00023303"/>
    <w:rsid w:val="00023967"/>
    <w:rsid w:val="00023C29"/>
    <w:rsid w:val="00023DD0"/>
    <w:rsid w:val="00023F67"/>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8D0"/>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1DD7"/>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3D8D"/>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092"/>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D9"/>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5E67"/>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079D2"/>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45A"/>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71"/>
    <w:rsid w:val="0015622B"/>
    <w:rsid w:val="00156260"/>
    <w:rsid w:val="00156502"/>
    <w:rsid w:val="00156ABD"/>
    <w:rsid w:val="00156FAC"/>
    <w:rsid w:val="00157A01"/>
    <w:rsid w:val="0016008F"/>
    <w:rsid w:val="0016019C"/>
    <w:rsid w:val="001601C7"/>
    <w:rsid w:val="001602C2"/>
    <w:rsid w:val="00160674"/>
    <w:rsid w:val="00160786"/>
    <w:rsid w:val="00160917"/>
    <w:rsid w:val="00161094"/>
    <w:rsid w:val="001618C5"/>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D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935"/>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7BE"/>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7DF"/>
    <w:rsid w:val="00214CB8"/>
    <w:rsid w:val="00214E0D"/>
    <w:rsid w:val="00214EE1"/>
    <w:rsid w:val="0021512E"/>
    <w:rsid w:val="002152C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D23"/>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44"/>
    <w:rsid w:val="00283165"/>
    <w:rsid w:val="002832E7"/>
    <w:rsid w:val="00283706"/>
    <w:rsid w:val="00283BAA"/>
    <w:rsid w:val="00283C29"/>
    <w:rsid w:val="00283FE3"/>
    <w:rsid w:val="00284B3D"/>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7A0"/>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E1E"/>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0CB"/>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D7D72"/>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6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8F4"/>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1E14"/>
    <w:rsid w:val="003422B1"/>
    <w:rsid w:val="0034230E"/>
    <w:rsid w:val="0034246D"/>
    <w:rsid w:val="0034305B"/>
    <w:rsid w:val="0034324F"/>
    <w:rsid w:val="00343A58"/>
    <w:rsid w:val="00343C24"/>
    <w:rsid w:val="00343FA6"/>
    <w:rsid w:val="00344433"/>
    <w:rsid w:val="00344725"/>
    <w:rsid w:val="00344901"/>
    <w:rsid w:val="00344FD3"/>
    <w:rsid w:val="0034511B"/>
    <w:rsid w:val="00345392"/>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4A6D"/>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2D9"/>
    <w:rsid w:val="00382903"/>
    <w:rsid w:val="00382C45"/>
    <w:rsid w:val="00383142"/>
    <w:rsid w:val="00383D4B"/>
    <w:rsid w:val="00383D54"/>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4AD"/>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2DD"/>
    <w:rsid w:val="003C44DB"/>
    <w:rsid w:val="003C4747"/>
    <w:rsid w:val="003C4CA3"/>
    <w:rsid w:val="003C4F25"/>
    <w:rsid w:val="003C5268"/>
    <w:rsid w:val="003C64CD"/>
    <w:rsid w:val="003C6580"/>
    <w:rsid w:val="003C6A1C"/>
    <w:rsid w:val="003C6CCB"/>
    <w:rsid w:val="003C6DA9"/>
    <w:rsid w:val="003C7855"/>
    <w:rsid w:val="003D0240"/>
    <w:rsid w:val="003D05BB"/>
    <w:rsid w:val="003D06A7"/>
    <w:rsid w:val="003D0868"/>
    <w:rsid w:val="003D09DA"/>
    <w:rsid w:val="003D0D7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0D7"/>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7041E"/>
    <w:rsid w:val="00470628"/>
    <w:rsid w:val="00470750"/>
    <w:rsid w:val="00470893"/>
    <w:rsid w:val="00470B29"/>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003"/>
    <w:rsid w:val="004961DB"/>
    <w:rsid w:val="0049653E"/>
    <w:rsid w:val="00496BEF"/>
    <w:rsid w:val="00496E38"/>
    <w:rsid w:val="004972FF"/>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3012B"/>
    <w:rsid w:val="00530396"/>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6F0F"/>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C12"/>
    <w:rsid w:val="005D20FC"/>
    <w:rsid w:val="005D22F9"/>
    <w:rsid w:val="005D24A2"/>
    <w:rsid w:val="005D25D7"/>
    <w:rsid w:val="005D2A49"/>
    <w:rsid w:val="005D2CB0"/>
    <w:rsid w:val="005D2EE8"/>
    <w:rsid w:val="005D3534"/>
    <w:rsid w:val="005D3707"/>
    <w:rsid w:val="005D3AF0"/>
    <w:rsid w:val="005D3BF1"/>
    <w:rsid w:val="005D3BFD"/>
    <w:rsid w:val="005D3C97"/>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43"/>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1FE0"/>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1B89"/>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0F7"/>
    <w:rsid w:val="006A3227"/>
    <w:rsid w:val="006A3396"/>
    <w:rsid w:val="006A3EC8"/>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80B"/>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5D58"/>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82"/>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D7F"/>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1E60"/>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CF2"/>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706"/>
    <w:rsid w:val="007A7AD5"/>
    <w:rsid w:val="007A7CF7"/>
    <w:rsid w:val="007B0253"/>
    <w:rsid w:val="007B051B"/>
    <w:rsid w:val="007B073B"/>
    <w:rsid w:val="007B0A80"/>
    <w:rsid w:val="007B0E3C"/>
    <w:rsid w:val="007B1061"/>
    <w:rsid w:val="007B17B2"/>
    <w:rsid w:val="007B185E"/>
    <w:rsid w:val="007B1F9A"/>
    <w:rsid w:val="007B2074"/>
    <w:rsid w:val="007B2638"/>
    <w:rsid w:val="007B2752"/>
    <w:rsid w:val="007B2BB1"/>
    <w:rsid w:val="007B3476"/>
    <w:rsid w:val="007B37C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40"/>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7C6"/>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145"/>
    <w:rsid w:val="00854983"/>
    <w:rsid w:val="00854A91"/>
    <w:rsid w:val="00854E0E"/>
    <w:rsid w:val="00854E93"/>
    <w:rsid w:val="00856301"/>
    <w:rsid w:val="008564E7"/>
    <w:rsid w:val="008569DF"/>
    <w:rsid w:val="00856D2B"/>
    <w:rsid w:val="00856E4A"/>
    <w:rsid w:val="00856F9B"/>
    <w:rsid w:val="00857165"/>
    <w:rsid w:val="0085722A"/>
    <w:rsid w:val="008572C0"/>
    <w:rsid w:val="008574C8"/>
    <w:rsid w:val="00857686"/>
    <w:rsid w:val="008579DE"/>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7AF"/>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E59"/>
    <w:rsid w:val="008D6F90"/>
    <w:rsid w:val="008D72BB"/>
    <w:rsid w:val="008D7518"/>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654"/>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23E"/>
    <w:rsid w:val="009402AA"/>
    <w:rsid w:val="009402AF"/>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4ECD"/>
    <w:rsid w:val="009B5821"/>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1E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587"/>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BF1"/>
    <w:rsid w:val="00A83CA0"/>
    <w:rsid w:val="00A84298"/>
    <w:rsid w:val="00A844CE"/>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222"/>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E8"/>
    <w:rsid w:val="00AF0FFE"/>
    <w:rsid w:val="00AF1414"/>
    <w:rsid w:val="00AF15C3"/>
    <w:rsid w:val="00AF1730"/>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1E6E"/>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930"/>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1D9"/>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20F"/>
    <w:rsid w:val="00B574BA"/>
    <w:rsid w:val="00B57861"/>
    <w:rsid w:val="00B57CD1"/>
    <w:rsid w:val="00B57D28"/>
    <w:rsid w:val="00B60407"/>
    <w:rsid w:val="00B6059C"/>
    <w:rsid w:val="00B60B4F"/>
    <w:rsid w:val="00B60E14"/>
    <w:rsid w:val="00B60E6E"/>
    <w:rsid w:val="00B61045"/>
    <w:rsid w:val="00B6112D"/>
    <w:rsid w:val="00B6156C"/>
    <w:rsid w:val="00B619AF"/>
    <w:rsid w:val="00B619B3"/>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2E6"/>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9"/>
    <w:rsid w:val="00C252FC"/>
    <w:rsid w:val="00C2544D"/>
    <w:rsid w:val="00C25803"/>
    <w:rsid w:val="00C25B53"/>
    <w:rsid w:val="00C26871"/>
    <w:rsid w:val="00C2695A"/>
    <w:rsid w:val="00C26B69"/>
    <w:rsid w:val="00C26D51"/>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110C"/>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290"/>
    <w:rsid w:val="00C82387"/>
    <w:rsid w:val="00C823D0"/>
    <w:rsid w:val="00C82C27"/>
    <w:rsid w:val="00C831FC"/>
    <w:rsid w:val="00C836C8"/>
    <w:rsid w:val="00C8395C"/>
    <w:rsid w:val="00C83D50"/>
    <w:rsid w:val="00C84231"/>
    <w:rsid w:val="00C847C8"/>
    <w:rsid w:val="00C84901"/>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10"/>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1CD"/>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869"/>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6D0"/>
    <w:rsid w:val="00CD179D"/>
    <w:rsid w:val="00CD17B7"/>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AD7"/>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2EFA"/>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6F52"/>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967"/>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758"/>
    <w:rsid w:val="00DD18BD"/>
    <w:rsid w:val="00DD1947"/>
    <w:rsid w:val="00DD1E75"/>
    <w:rsid w:val="00DD1ED7"/>
    <w:rsid w:val="00DD242B"/>
    <w:rsid w:val="00DD2952"/>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DE4"/>
    <w:rsid w:val="00DE3E7C"/>
    <w:rsid w:val="00DE3FD6"/>
    <w:rsid w:val="00DE44D6"/>
    <w:rsid w:val="00DE464E"/>
    <w:rsid w:val="00DE4664"/>
    <w:rsid w:val="00DE4811"/>
    <w:rsid w:val="00DE4B0C"/>
    <w:rsid w:val="00DE530B"/>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6FB"/>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2D6"/>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74"/>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4D04"/>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D66"/>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7F1"/>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307"/>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653"/>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1F64"/>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24"/>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A73"/>
    <w:rsid w:val="00F71DC2"/>
    <w:rsid w:val="00F71F79"/>
    <w:rsid w:val="00F720DC"/>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0B2D"/>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2C5D"/>
    <w:rsid w:val="00FC37F0"/>
    <w:rsid w:val="00FC3BBC"/>
    <w:rsid w:val="00FC3EEB"/>
    <w:rsid w:val="00FC4278"/>
    <w:rsid w:val="00FC4423"/>
    <w:rsid w:val="00FC47CD"/>
    <w:rsid w:val="00FC47D1"/>
    <w:rsid w:val="00FC4CA4"/>
    <w:rsid w:val="00FC4ED1"/>
    <w:rsid w:val="00FC545C"/>
    <w:rsid w:val="00FC553E"/>
    <w:rsid w:val="00FC58B2"/>
    <w:rsid w:val="00FC65A0"/>
    <w:rsid w:val="00FC69C2"/>
    <w:rsid w:val="00FC6B41"/>
    <w:rsid w:val="00FC6D8C"/>
    <w:rsid w:val="00FC791E"/>
    <w:rsid w:val="00FC7F93"/>
    <w:rsid w:val="00FD06C1"/>
    <w:rsid w:val="00FD10D2"/>
    <w:rsid w:val="00FD116E"/>
    <w:rsid w:val="00FD1407"/>
    <w:rsid w:val="00FD1643"/>
    <w:rsid w:val="00FD175D"/>
    <w:rsid w:val="00FD235B"/>
    <w:rsid w:val="00FD23AC"/>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1C2B"/>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AE469-F04E-4581-8431-E938515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B1A5059A-B5BD-4F06-8202-2BB4D0BC4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42</TotalTime>
  <Pages>8</Pages>
  <Words>4238</Words>
  <Characters>21759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Fred Takeda(2)</cp:lastModifiedBy>
  <cp:revision>21</cp:revision>
  <cp:lastPrinted>2014-11-07T05:38:00Z</cp:lastPrinted>
  <dcterms:created xsi:type="dcterms:W3CDTF">2019-10-04T23:16:00Z</dcterms:created>
  <dcterms:modified xsi:type="dcterms:W3CDTF">2019-10-05T02:12:00Z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ec345493-b35e-4cf1-81a0-63b69242410f</vt:lpwstr>
  </property>
  <property fmtid="{D5CDD505-2E9C-101B-9397-08002B2CF9AE}" pid="3" name="ContentTypeId">
    <vt:lpwstr>0x010100B22C4744E2C3194A99119A9C6B17BC0A</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